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37527" w14:textId="77777777" w:rsidR="002B59C7" w:rsidRDefault="00475B93">
      <w:pPr>
        <w:spacing w:before="1300" w:after="180"/>
      </w:pPr>
      <w:r>
        <w:rPr>
          <w:b/>
          <w:bCs/>
          <w:color w:val="6B6560"/>
          <w:sz w:val="20"/>
          <w:szCs w:val="20"/>
        </w:rPr>
        <w:t>ENTERPRISE — ORACLE CLOUD PROGRAM — MASTER DOCUMENT</w:t>
      </w:r>
    </w:p>
    <w:p w14:paraId="2BC243B8" w14:textId="77777777" w:rsidR="002B59C7" w:rsidRDefault="00475B93">
      <w:pPr>
        <w:spacing w:after="140"/>
      </w:pPr>
      <w:r>
        <w:rPr>
          <w:b/>
          <w:bCs/>
          <w:color w:val="C74634"/>
          <w:sz w:val="54"/>
          <w:szCs w:val="54"/>
        </w:rPr>
        <w:t>Master Architecture Document</w:t>
      </w:r>
    </w:p>
    <w:p w14:paraId="56ACA88F" w14:textId="77777777" w:rsidR="002B59C7" w:rsidRDefault="00475B93">
      <w:pPr>
        <w:spacing w:after="300"/>
      </w:pPr>
      <w:r>
        <w:rPr>
          <w:sz w:val="24"/>
          <w:szCs w:val="24"/>
        </w:rPr>
        <w:t>Solution · Technical &amp; Infrastructure · Landing Zone · Workloads · Integration · FDI · MDM/ETL · Security · Observability · FinOps · IaC (Azure DevOps + GitHub) · DR · Multi-Cloud</w:t>
      </w:r>
    </w:p>
    <w:p w14:paraId="38CB5110" w14:textId="77777777" w:rsidR="002B59C7" w:rsidRDefault="00475B93">
      <w:pPr>
        <w:spacing w:after="140"/>
      </w:pPr>
      <w:r>
        <w:rPr>
          <w:color w:val="6B6560"/>
          <w:sz w:val="22"/>
          <w:szCs w:val="22"/>
        </w:rPr>
        <w:t>The single consolidated reference for the organization's Oracle Cloud estate — tenancy &lt;tenancy&gt;, Fusion (ERP · EPM · HCM · CX/SCM) + OCI (OIC · ATP · FDI · VBS). Consolidates Volumes 1–9 and diagrams D1–D15 into one document, and adds the full OCI security service catalog, the MDM/ETL architecture, and the Azure DevOps + GitHub delivery model. Where a domain has a deep-dive volume, this document is authoritative for the WHAT and the volume for the HOW.</w:t>
      </w:r>
    </w:p>
    <w:p w14:paraId="6AF1A7DB" w14:textId="77777777" w:rsidR="002B59C7" w:rsidRDefault="00475B93">
      <w:pPr>
        <w:spacing w:after="140"/>
      </w:pPr>
      <w:r>
        <w:rPr>
          <w:i/>
          <w:iCs/>
          <w:color w:val="6B6560"/>
          <w:sz w:val="20"/>
          <w:szCs w:val="20"/>
        </w:rPr>
        <w:t>Status: v1.0 DRAFT  |  Author: Enterprise Cloud Architect (OCI)  |  August 2026  |  Classification: Internal</w:t>
      </w:r>
    </w:p>
    <w:p w14:paraId="53C15C9E" w14:textId="77777777" w:rsidR="002B59C7" w:rsidRDefault="00475B93">
      <w:r>
        <w:br w:type="page"/>
      </w:r>
    </w:p>
    <w:p w14:paraId="3C0AEE25" w14:textId="77777777" w:rsidR="002B59C7" w:rsidRDefault="00475B93">
      <w:pPr>
        <w:pStyle w:val="Heading1"/>
        <w:spacing w:before="300" w:after="150"/>
      </w:pPr>
      <w:r>
        <w:rPr>
          <w:b/>
          <w:bCs/>
          <w:color w:val="C74634"/>
          <w:sz w:val="30"/>
          <w:szCs w:val="30"/>
        </w:rPr>
        <w:lastRenderedPageBreak/>
        <w:t>Document Map</w:t>
      </w:r>
    </w:p>
    <w:tbl>
      <w:tblPr>
        <w:tblW w:w="10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4300"/>
        <w:gridCol w:w="2500"/>
        <w:gridCol w:w="2360"/>
      </w:tblGrid>
      <w:tr w:rsidR="002B59C7" w14:paraId="136C2AD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A5EC5A1" w14:textId="77777777" w:rsidR="002B59C7" w:rsidRDefault="00475B93"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Section</w:t>
            </w:r>
          </w:p>
        </w:tc>
        <w:tc>
          <w:tcPr>
            <w:tcW w:w="4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0D07033" w14:textId="77777777" w:rsidR="002B59C7" w:rsidRDefault="00475B93"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Domain</w:t>
            </w:r>
          </w:p>
        </w:tc>
        <w:tc>
          <w:tcPr>
            <w:tcW w:w="2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76D5602" w14:textId="77777777" w:rsidR="002B59C7" w:rsidRDefault="00475B93"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Diagrams</w:t>
            </w:r>
          </w:p>
        </w:tc>
        <w:tc>
          <w:tcPr>
            <w:tcW w:w="23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8893969" w14:textId="77777777" w:rsidR="002B59C7" w:rsidRDefault="00475B93"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Deep-dive volume</w:t>
            </w:r>
          </w:p>
        </w:tc>
      </w:tr>
      <w:tr w:rsidR="002B59C7" w14:paraId="7F98516F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7B44EB3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1B3C05A4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Solution architecture (business + logical)</w:t>
            </w:r>
          </w:p>
        </w:tc>
        <w:tc>
          <w:tcPr>
            <w:tcW w:w="2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8B12B88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D1, D9</w:t>
            </w:r>
          </w:p>
        </w:tc>
        <w:tc>
          <w:tcPr>
            <w:tcW w:w="23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FE00121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Vol. 1, Vol. 6</w:t>
            </w:r>
          </w:p>
        </w:tc>
      </w:tr>
      <w:tr w:rsidR="002B59C7" w14:paraId="21BC4023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117918AC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DB43002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Technical &amp; infrastructure architecture</w:t>
            </w:r>
          </w:p>
        </w:tc>
        <w:tc>
          <w:tcPr>
            <w:tcW w:w="2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4A2BF67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D10, D3</w:t>
            </w:r>
          </w:p>
        </w:tc>
        <w:tc>
          <w:tcPr>
            <w:tcW w:w="23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295A3DD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Vol. 2, Vol. 6</w:t>
            </w:r>
          </w:p>
        </w:tc>
      </w:tr>
      <w:tr w:rsidR="002B59C7" w14:paraId="259C6965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4DF532F0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52B0122E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Landing zone &amp; governance</w:t>
            </w:r>
          </w:p>
        </w:tc>
        <w:tc>
          <w:tcPr>
            <w:tcW w:w="2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47B64541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D2, D8</w:t>
            </w:r>
          </w:p>
        </w:tc>
        <w:tc>
          <w:tcPr>
            <w:tcW w:w="23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68BA096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Vol. 3 (Standard v1.1), Vol. 5</w:t>
            </w:r>
          </w:p>
        </w:tc>
      </w:tr>
      <w:tr w:rsidR="002B59C7" w14:paraId="5F5F351E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C84056E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FD14093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Workload architecture &amp; environments</w:t>
            </w:r>
          </w:p>
        </w:tc>
        <w:tc>
          <w:tcPr>
            <w:tcW w:w="2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49A72BBB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3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2D45872B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Vol. 5</w:t>
            </w:r>
          </w:p>
        </w:tc>
      </w:tr>
      <w:tr w:rsidR="002B59C7" w14:paraId="0C8F5AE2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2859816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A287C2E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Integration architecture (OIC)</w:t>
            </w:r>
          </w:p>
        </w:tc>
        <w:tc>
          <w:tcPr>
            <w:tcW w:w="2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E30B1AD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D5</w:t>
            </w:r>
          </w:p>
        </w:tc>
        <w:tc>
          <w:tcPr>
            <w:tcW w:w="23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D1CFFD4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Vol. 2 §6, Vol. 7</w:t>
            </w:r>
          </w:p>
        </w:tc>
      </w:tr>
      <w:tr w:rsidR="002B59C7" w14:paraId="0C3EE2E0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29E551C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F33F82D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Analytics (FDI)</w:t>
            </w:r>
          </w:p>
        </w:tc>
        <w:tc>
          <w:tcPr>
            <w:tcW w:w="2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47C4AA7E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D7</w:t>
            </w:r>
          </w:p>
        </w:tc>
        <w:tc>
          <w:tcPr>
            <w:tcW w:w="23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5ECD7CF0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Vol. 2 §8</w:t>
            </w:r>
          </w:p>
        </w:tc>
      </w:tr>
      <w:tr w:rsidR="002B59C7" w14:paraId="6ECA26B0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3925D20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10B85D9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MDM / ETL &amp; data migration</w:t>
            </w:r>
          </w:p>
        </w:tc>
        <w:tc>
          <w:tcPr>
            <w:tcW w:w="2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21A748E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D6</w:t>
            </w:r>
          </w:p>
        </w:tc>
        <w:tc>
          <w:tcPr>
            <w:tcW w:w="23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BF63132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Vol. 2 §7 (new consolidated section)</w:t>
            </w:r>
          </w:p>
        </w:tc>
      </w:tr>
      <w:tr w:rsidR="002B59C7" w14:paraId="29A0090C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5C3B1616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1CB3669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Security architecture (full OCI catalog)</w:t>
            </w:r>
          </w:p>
        </w:tc>
        <w:tc>
          <w:tcPr>
            <w:tcW w:w="2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4BF353FA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D4, D11, D12</w:t>
            </w:r>
          </w:p>
        </w:tc>
        <w:tc>
          <w:tcPr>
            <w:tcW w:w="23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50E984FF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Vols 3, 7 (+ new catalog here)</w:t>
            </w:r>
          </w:p>
        </w:tc>
      </w:tr>
      <w:tr w:rsidR="002B59C7" w14:paraId="0BA07707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B87E61A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4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27935DFF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Observability &amp; management</w:t>
            </w:r>
          </w:p>
        </w:tc>
        <w:tc>
          <w:tcPr>
            <w:tcW w:w="2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5B89BE80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3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4E5E1D8D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Vol. 5 §12</w:t>
            </w:r>
          </w:p>
        </w:tc>
      </w:tr>
      <w:tr w:rsidR="002B59C7" w14:paraId="1F507E19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260301FD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5C701476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FinOps</w:t>
            </w:r>
          </w:p>
        </w:tc>
        <w:tc>
          <w:tcPr>
            <w:tcW w:w="2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52CDCCA1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3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C302D8E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Vol. 3 §10</w:t>
            </w:r>
          </w:p>
        </w:tc>
      </w:tr>
      <w:tr w:rsidR="002B59C7" w14:paraId="0FFAFA44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E0252EE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4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A346A19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IaC &amp; CI/CD — Azure DevOps + GitHub</w:t>
            </w:r>
          </w:p>
        </w:tc>
        <w:tc>
          <w:tcPr>
            <w:tcW w:w="2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7D721D0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3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13391583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New authoritative section</w:t>
            </w:r>
          </w:p>
        </w:tc>
      </w:tr>
      <w:tr w:rsidR="002B59C7" w14:paraId="5C52E181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2A5FB49B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4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4A0771A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Disaster recovery (both options)</w:t>
            </w:r>
          </w:p>
        </w:tc>
        <w:tc>
          <w:tcPr>
            <w:tcW w:w="2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B05DD4A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D13, D14</w:t>
            </w:r>
          </w:p>
        </w:tc>
        <w:tc>
          <w:tcPr>
            <w:tcW w:w="23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B07263D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Vol. 8</w:t>
            </w:r>
          </w:p>
        </w:tc>
      </w:tr>
      <w:tr w:rsidR="002B59C7" w14:paraId="604655AC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2A1E8B4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4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48692F3C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Multi-cloud extension</w:t>
            </w:r>
          </w:p>
        </w:tc>
        <w:tc>
          <w:tcPr>
            <w:tcW w:w="2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645F5BB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D15</w:t>
            </w:r>
          </w:p>
        </w:tc>
        <w:tc>
          <w:tcPr>
            <w:tcW w:w="23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44F0ADBF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Vol. 9</w:t>
            </w:r>
          </w:p>
        </w:tc>
      </w:tr>
    </w:tbl>
    <w:p w14:paraId="055186CC" w14:textId="77777777" w:rsidR="002B59C7" w:rsidRDefault="00475B93">
      <w:r>
        <w:br w:type="page"/>
      </w:r>
    </w:p>
    <w:p w14:paraId="23ACF563" w14:textId="77777777" w:rsidR="002B59C7" w:rsidRDefault="00475B93">
      <w:pPr>
        <w:pStyle w:val="Heading1"/>
        <w:spacing w:before="300" w:after="150"/>
      </w:pPr>
      <w:r>
        <w:rPr>
          <w:b/>
          <w:bCs/>
          <w:color w:val="C74634"/>
          <w:sz w:val="30"/>
          <w:szCs w:val="30"/>
        </w:rPr>
        <w:lastRenderedPageBreak/>
        <w:t>1. Solution Architecture</w:t>
      </w:r>
    </w:p>
    <w:p w14:paraId="3D4E9010" w14:textId="77777777" w:rsidR="002B59C7" w:rsidRDefault="00475B93">
      <w:pPr>
        <w:spacing w:after="140"/>
      </w:pPr>
      <w:r>
        <w:t>Greenfield Oracle Fusion adoption: ERP, EPM, HCM and the fourth pillar (CX/SCM per subscription confirmation R-01) become the system of record; the legacy ERP retires at cutover with master data + opening balances migrated and history retained only in analytics. One tenancy carries two control planes — Oracle-managed Fusion SaaS reached over the Oracle Services Network, and the customer-managed OCI estate (integration, custom data, analytics, network, security). Identity is singular: Microsoft Entra ID (fed by</w:t>
      </w:r>
      <w:r>
        <w:t xml:space="preserve"> on-prem AD and HCM joiner/mover/leaver events) provides one SSO with Conditional Access + MFA across Fusion, OIC, FDI, and the OCI Console.</w:t>
      </w:r>
    </w:p>
    <w:p w14:paraId="09F97907" w14:textId="77777777" w:rsidR="002B59C7" w:rsidRDefault="00475B93">
      <w:pPr>
        <w:spacing w:before="40" w:after="120"/>
        <w:jc w:val="center"/>
      </w:pPr>
      <w:r>
        <w:rPr>
          <w:noProof/>
        </w:rPr>
        <w:drawing>
          <wp:inline distT="0" distB="0" distL="0" distR="0" wp14:anchorId="3DF42096" wp14:editId="5992E45F">
            <wp:extent cx="6667500" cy="43338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4B265" w14:textId="77777777" w:rsidR="002B59C7" w:rsidRDefault="00475B93">
      <w:pPr>
        <w:spacing w:before="40" w:after="120"/>
        <w:jc w:val="center"/>
      </w:pPr>
      <w:r>
        <w:rPr>
          <w:noProof/>
        </w:rPr>
        <w:lastRenderedPageBreak/>
        <w:drawing>
          <wp:inline distT="0" distB="0" distL="0" distR="0" wp14:anchorId="734FEE18" wp14:editId="5C6E09E6">
            <wp:extent cx="8382000" cy="5334000"/>
            <wp:effectExtent l="0" t="0" r="0" b="0"/>
            <wp:docPr id="464346377" name="Picture 464346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CB704" w14:textId="77777777" w:rsidR="002B59C7" w:rsidRDefault="00475B93">
      <w:pPr>
        <w:spacing w:after="140"/>
      </w:pPr>
      <w:r>
        <w:rPr>
          <w:sz w:val="20"/>
          <w:szCs w:val="20"/>
        </w:rPr>
        <w:t>The end state reads in five layers: users/channels, business applications (+VBS custom extensions), integration &amp; API services, data &amp; analytics, and the cross-cutting platform/governance plane — with external counterparties (banks, tax, third-party SaaS) integrating only through governed edges (API Gateway, OIC File Server, load balancers), and eight catalogued logical flows (F1–F8, Vol. 6 §2) covering every data movement.</w:t>
      </w:r>
    </w:p>
    <w:p w14:paraId="56E5E4A0" w14:textId="77777777" w:rsidR="002B59C7" w:rsidRDefault="00475B93">
      <w:r>
        <w:br w:type="page"/>
      </w:r>
    </w:p>
    <w:p w14:paraId="4C80B59A" w14:textId="77777777" w:rsidR="002B59C7" w:rsidRDefault="00475B93">
      <w:pPr>
        <w:pStyle w:val="Heading1"/>
        <w:spacing w:before="300" w:after="150"/>
      </w:pPr>
      <w:r>
        <w:rPr>
          <w:b/>
          <w:bCs/>
          <w:color w:val="C74634"/>
          <w:sz w:val="30"/>
          <w:szCs w:val="30"/>
        </w:rPr>
        <w:t>2. Technical &amp; Infrastructure Architecture</w:t>
      </w:r>
    </w:p>
    <w:p w14:paraId="00C3A8DF" w14:textId="77777777" w:rsidR="002B59C7" w:rsidRDefault="00475B93">
      <w:pPr>
        <w:spacing w:before="40" w:after="120"/>
        <w:jc w:val="center"/>
      </w:pPr>
      <w:r>
        <w:rPr>
          <w:noProof/>
        </w:rPr>
        <w:drawing>
          <wp:inline distT="0" distB="0" distL="0" distR="0" wp14:anchorId="047EAE13" wp14:editId="0AE8C980">
            <wp:extent cx="8382000" cy="5867400"/>
            <wp:effectExtent l="0" t="0" r="0" b="0"/>
            <wp:docPr id="1573876044" name="Picture 1573876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0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210E8" w14:textId="77777777" w:rsidR="002B59C7" w:rsidRDefault="00475B93">
      <w:pPr>
        <w:spacing w:after="140"/>
      </w:pPr>
      <w:r>
        <w:rPr>
          <w:sz w:val="20"/>
          <w:szCs w:val="20"/>
        </w:rPr>
        <w:t>Physical placement: primary region aligned with the Fusion pods; four environment VCNs (DEV1 10.10/16, DEV2 10.20/16, TST 10.30/16, PRD 10.40/16 + Regulated subnet .4.0/24) in Shared-Services; per-environment PaaS compartments consume subnets via scoped 'use' grants; Security Zones on PRD, Analytics, Vault-KMS, Regulated-Workloads; secondary region carries backup copies and the DR footprint (§12). Fusion pods sit on the OSN — no customer VCN path to them exists, by design.</w:t>
      </w:r>
    </w:p>
    <w:p w14:paraId="34BF8054" w14:textId="77777777" w:rsidR="002B59C7" w:rsidRDefault="00475B93">
      <w:pPr>
        <w:pStyle w:val="Heading3"/>
        <w:spacing w:before="170" w:after="90"/>
      </w:pPr>
      <w:r>
        <w:rPr>
          <w:b/>
          <w:bCs/>
          <w:color w:val="6B6560"/>
          <w:sz w:val="22"/>
          <w:szCs w:val="22"/>
        </w:rPr>
        <w:t>Network pattern (per environment)</w:t>
      </w:r>
    </w:p>
    <w:p w14:paraId="31AAF90C" w14:textId="77777777" w:rsidR="002B59C7" w:rsidRDefault="00475B93">
      <w:pPr>
        <w:spacing w:before="40" w:after="120"/>
        <w:jc w:val="center"/>
      </w:pPr>
      <w:r>
        <w:rPr>
          <w:noProof/>
        </w:rPr>
        <w:drawing>
          <wp:inline distT="0" distB="0" distL="0" distR="0" wp14:anchorId="1F86E8A0" wp14:editId="159713A6">
            <wp:extent cx="6667500" cy="4248150"/>
            <wp:effectExtent l="0" t="0" r="0" b="0"/>
            <wp:docPr id="1246542403" name="Picture 1246542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115BC" w14:textId="77777777" w:rsidR="002B59C7" w:rsidRDefault="00475B93">
      <w:pPr>
        <w:pStyle w:val="ListParagraph"/>
        <w:numPr>
          <w:ilvl w:val="0"/>
          <w:numId w:val="2"/>
        </w:numPr>
        <w:spacing w:after="60"/>
      </w:pPr>
      <w:r>
        <w:t>All subnets private; Service Gateway for OSN traffic, NAT with egress allow-list, no Internet Gateway in TST/PRD; NSG default-deny micro-segmentation; ATP private endpoints on 1522/mTLS; DNS via per-VCN private zones. The complete flow registers (external E1–E6, internal I1–I7) live in Vol. 7 and are the authoritative list of permitted paths.</w:t>
      </w:r>
    </w:p>
    <w:p w14:paraId="1B4B6EA4" w14:textId="77777777" w:rsidR="002B59C7" w:rsidRDefault="00475B93">
      <w:r>
        <w:br w:type="page"/>
      </w:r>
    </w:p>
    <w:p w14:paraId="37E05CE6" w14:textId="77777777" w:rsidR="002B59C7" w:rsidRDefault="00475B93">
      <w:pPr>
        <w:pStyle w:val="Heading1"/>
        <w:spacing w:before="300" w:after="150"/>
      </w:pPr>
      <w:r>
        <w:rPr>
          <w:b/>
          <w:bCs/>
          <w:color w:val="C74634"/>
          <w:sz w:val="30"/>
          <w:szCs w:val="30"/>
        </w:rPr>
        <w:t>3. Landing Zone &amp; Governance</w:t>
      </w:r>
    </w:p>
    <w:p w14:paraId="3558BCCC" w14:textId="77777777" w:rsidR="002B59C7" w:rsidRDefault="00475B93">
      <w:pPr>
        <w:spacing w:before="40" w:after="120"/>
        <w:jc w:val="center"/>
      </w:pPr>
      <w:r>
        <w:rPr>
          <w:noProof/>
        </w:rPr>
        <w:drawing>
          <wp:inline distT="0" distB="0" distL="0" distR="0" wp14:anchorId="5FD992C2" wp14:editId="38DFF2F2">
            <wp:extent cx="6667500" cy="4562475"/>
            <wp:effectExtent l="0" t="0" r="0" b="0"/>
            <wp:docPr id="1407661184" name="Picture 1407661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F9E66" w14:textId="77777777" w:rsidR="002B59C7" w:rsidRDefault="00475B93">
      <w:pPr>
        <w:spacing w:before="40" w:after="120"/>
        <w:jc w:val="center"/>
      </w:pPr>
      <w:r>
        <w:rPr>
          <w:noProof/>
        </w:rPr>
        <w:drawing>
          <wp:inline distT="0" distB="0" distL="0" distR="0" wp14:anchorId="0277F8EC" wp14:editId="4F952264">
            <wp:extent cx="6667500" cy="4562475"/>
            <wp:effectExtent l="0" t="0" r="0" b="0"/>
            <wp:docPr id="434678009" name="Picture 434678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C830D" w14:textId="77777777" w:rsidR="002B59C7" w:rsidRDefault="00475B93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Compartment model: </w:t>
      </w:r>
      <w:r>
        <w:t>Governance · Shared-Services (Networking / Identity-Integrations / Shared-Tools / Vault-KMS) · Applications {DEV1, DEV2, TST, PRD} × {Partner-A, Partner-B, Internal, PaaS} · SaaS handles · Analytics · Regulated-Workloads · Sandbox · DR. Environment codes follow the standard environment framework (PRD/UAT/TST/DEV/SBX/TRN/DR); UAT and TRAIN are Fusion Test-pod phases.</w:t>
      </w:r>
    </w:p>
    <w:p w14:paraId="70BC54F3" w14:textId="77777777" w:rsidR="002B59C7" w:rsidRDefault="00475B93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Guardrails: </w:t>
      </w:r>
      <w:r>
        <w:t>no workloads in root; default-deny IAM (no Deny keyword — absence-of-allow + Security Zones); group-based access only (OCI-* groups federated from Entra); 15-key governance tag namespace with locked defaults; budgets + quotas per compartment; everything Terraform-managed with weekly drift reconciliation ≤ 48h.</w:t>
      </w:r>
    </w:p>
    <w:p w14:paraId="0413D635" w14:textId="77777777" w:rsidR="002B59C7" w:rsidRDefault="00475B93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Authority: </w:t>
      </w:r>
      <w:r>
        <w:t>OCI Governance Standard v1.1 (GOV-* control IDs) under the Oracle Cloud Governance Framework v1.2 and Responsibility Matrix; Cloud Governance Board ratifies; 8-step CAB change workflow for all governed change.</w:t>
      </w:r>
    </w:p>
    <w:p w14:paraId="080D6056" w14:textId="77777777" w:rsidR="002B59C7" w:rsidRDefault="00475B93">
      <w:pPr>
        <w:pStyle w:val="Heading1"/>
        <w:spacing w:before="300" w:after="150"/>
      </w:pPr>
      <w:r>
        <w:rPr>
          <w:b/>
          <w:bCs/>
          <w:color w:val="C74634"/>
          <w:sz w:val="30"/>
          <w:szCs w:val="30"/>
        </w:rPr>
        <w:t>4. Workload Architecture &amp; Environment Matrix</w:t>
      </w:r>
    </w:p>
    <w:tbl>
      <w:tblPr>
        <w:tblW w:w="10360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2100"/>
        <w:gridCol w:w="1700"/>
        <w:gridCol w:w="1900"/>
        <w:gridCol w:w="1300"/>
        <w:gridCol w:w="2060"/>
      </w:tblGrid>
      <w:tr w:rsidR="002B59C7" w14:paraId="13111DF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43575BF" w14:textId="77777777" w:rsidR="002B59C7" w:rsidRDefault="00475B93"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Env</w:t>
            </w:r>
          </w:p>
        </w:tc>
        <w:tc>
          <w:tcPr>
            <w:tcW w:w="21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11F2E433" w14:textId="77777777" w:rsidR="002B59C7" w:rsidRDefault="00475B93"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Fusion pods served</w:t>
            </w:r>
          </w:p>
        </w:tc>
        <w:tc>
          <w:tcPr>
            <w:tcW w:w="17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2E293AC4" w14:textId="77777777" w:rsidR="002B59C7" w:rsidRDefault="00475B93"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OIC</w:t>
            </w:r>
          </w:p>
        </w:tc>
        <w:tc>
          <w:tcPr>
            <w:tcW w:w="19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EC03A8E" w14:textId="77777777" w:rsidR="002B59C7" w:rsidRDefault="00475B93"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Data</w:t>
            </w:r>
          </w:p>
        </w:tc>
        <w:tc>
          <w:tcPr>
            <w:tcW w:w="1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2F93531F" w14:textId="77777777" w:rsidR="002B59C7" w:rsidRDefault="00475B93"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VCN</w:t>
            </w:r>
          </w:p>
        </w:tc>
        <w:tc>
          <w:tcPr>
            <w:tcW w:w="20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41E897B7" w14:textId="77777777" w:rsidR="002B59C7" w:rsidRDefault="00475B93"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Analytics</w:t>
            </w:r>
          </w:p>
        </w:tc>
      </w:tr>
      <w:tr w:rsidR="002B59C7" w14:paraId="4CE1B177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12B6BE49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DEV1</w:t>
            </w:r>
          </w:p>
        </w:tc>
        <w:tc>
          <w:tcPr>
            <w:tcW w:w="21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7AEA32E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fa-&lt;realm&gt;-dev1 + pillar dev1 pods</w:t>
            </w:r>
          </w:p>
        </w:tc>
        <w:tc>
          <w:tcPr>
            <w:tcW w:w="17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51B6D914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DEV1-OIC-CORE-01</w:t>
            </w:r>
          </w:p>
        </w:tc>
        <w:tc>
          <w:tcPr>
            <w:tcW w:w="19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EB2A509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shared ADB (schema-isolated)</w:t>
            </w:r>
          </w:p>
        </w:tc>
        <w:tc>
          <w:tcPr>
            <w:tcW w:w="1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56724321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VCN-DEV1</w:t>
            </w:r>
          </w:p>
        </w:tc>
        <w:tc>
          <w:tcPr>
            <w:tcW w:w="20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8862260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—</w:t>
            </w:r>
          </w:p>
        </w:tc>
      </w:tr>
      <w:tr w:rsidR="002B59C7" w14:paraId="1D5028F8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961EDFD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DEV2</w:t>
            </w:r>
          </w:p>
        </w:tc>
        <w:tc>
          <w:tcPr>
            <w:tcW w:w="21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CF3A887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fa-&lt;realm&gt;-dev2 + pillar dev2 pods</w:t>
            </w:r>
          </w:p>
        </w:tc>
        <w:tc>
          <w:tcPr>
            <w:tcW w:w="17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A94FD8F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DEV2-OIC-CORE-01</w:t>
            </w:r>
          </w:p>
        </w:tc>
        <w:tc>
          <w:tcPr>
            <w:tcW w:w="19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40D051D5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shared ADB</w:t>
            </w:r>
          </w:p>
        </w:tc>
        <w:tc>
          <w:tcPr>
            <w:tcW w:w="1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12E02E06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VCN-DEV2</w:t>
            </w:r>
          </w:p>
        </w:tc>
        <w:tc>
          <w:tcPr>
            <w:tcW w:w="20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D526742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—</w:t>
            </w:r>
          </w:p>
        </w:tc>
      </w:tr>
      <w:tr w:rsidR="002B59C7" w14:paraId="6A9D4990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27406B57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TST (SIT/UAT/TRN)</w:t>
            </w:r>
          </w:p>
        </w:tc>
        <w:tc>
          <w:tcPr>
            <w:tcW w:w="21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D62B9C0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fa-&lt;realm&gt;-test + pillar test pods</w:t>
            </w:r>
          </w:p>
        </w:tc>
        <w:tc>
          <w:tcPr>
            <w:tcW w:w="17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F7CF016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TST-OIC-CORE-01</w:t>
            </w:r>
          </w:p>
        </w:tc>
        <w:tc>
          <w:tcPr>
            <w:tcW w:w="19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7136736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TST-SCM-ADB-CORE-01</w:t>
            </w:r>
          </w:p>
        </w:tc>
        <w:tc>
          <w:tcPr>
            <w:tcW w:w="1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E6B801F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VCN-TST</w:t>
            </w:r>
          </w:p>
        </w:tc>
        <w:tc>
          <w:tcPr>
            <w:tcW w:w="20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D1F08B1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FDI non-prod (later, D4)</w:t>
            </w:r>
          </w:p>
        </w:tc>
      </w:tr>
      <w:tr w:rsidR="002B59C7" w14:paraId="0A4409E7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2F1BFC4B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PRD</w:t>
            </w:r>
          </w:p>
        </w:tc>
        <w:tc>
          <w:tcPr>
            <w:tcW w:w="21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5FAAA10F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fa-&lt;realm&gt;-prod + pillar PRD pods</w:t>
            </w:r>
          </w:p>
        </w:tc>
        <w:tc>
          <w:tcPr>
            <w:tcW w:w="17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2FF1B828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PRD-OIC-CORE-01</w:t>
            </w:r>
          </w:p>
        </w:tc>
        <w:tc>
          <w:tcPr>
            <w:tcW w:w="19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732AC19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PRD-SCM-ADB-CORE-01</w:t>
            </w:r>
          </w:p>
        </w:tc>
        <w:tc>
          <w:tcPr>
            <w:tcW w:w="1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1E01258F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VCN-PRD</w:t>
            </w:r>
          </w:p>
        </w:tc>
        <w:tc>
          <w:tcPr>
            <w:tcW w:w="20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2D0A96B3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PRD-FDI-CORE-01</w:t>
            </w:r>
          </w:p>
        </w:tc>
      </w:tr>
    </w:tbl>
    <w:p w14:paraId="6F3C9139" w14:textId="77777777" w:rsidR="002B59C7" w:rsidRDefault="00475B93">
      <w:pPr>
        <w:pStyle w:val="ListParagraph"/>
        <w:numPr>
          <w:ilvl w:val="0"/>
          <w:numId w:val="2"/>
        </w:numPr>
        <w:spacing w:after="60"/>
      </w:pPr>
      <w:r>
        <w:t>Workload classes: OIC integrations (the backbone); ATP schemas (staging/x-ref/custom apps — never a Fusion replica); VBS custom apps and partner-built apps (LB/API-GW fronted compute in App-Processing); FDI analytics; object storage estates (FBDI in/out, archives, TF state). Vendor workloads live in per-partner compartments with full A-cannot-see-B isolation. Promotion: DEV1/DEV2 (parallel streams) → TST → PRD via pipeline only (§11); Dev3/Dev4 pod entitlement extends this matrix without redesign.</w:t>
      </w:r>
    </w:p>
    <w:p w14:paraId="019C1B4A" w14:textId="77777777" w:rsidR="002B59C7" w:rsidRDefault="00475B93">
      <w:r>
        <w:br w:type="page"/>
      </w:r>
    </w:p>
    <w:p w14:paraId="5CCFA8CB" w14:textId="77777777" w:rsidR="002B59C7" w:rsidRDefault="00475B93">
      <w:pPr>
        <w:pStyle w:val="Heading1"/>
        <w:spacing w:before="300" w:after="150"/>
      </w:pPr>
      <w:r>
        <w:rPr>
          <w:b/>
          <w:bCs/>
          <w:color w:val="C74634"/>
          <w:sz w:val="30"/>
          <w:szCs w:val="30"/>
        </w:rPr>
        <w:t>5. Integration Architecture (OIC)</w:t>
      </w:r>
    </w:p>
    <w:p w14:paraId="258B5575" w14:textId="77777777" w:rsidR="002B59C7" w:rsidRDefault="00475B93">
      <w:pPr>
        <w:spacing w:before="40" w:after="120"/>
        <w:jc w:val="center"/>
      </w:pPr>
      <w:r>
        <w:rPr>
          <w:noProof/>
        </w:rPr>
        <w:drawing>
          <wp:inline distT="0" distB="0" distL="0" distR="0" wp14:anchorId="27553A10" wp14:editId="0BA1393A">
            <wp:extent cx="6667500" cy="4200525"/>
            <wp:effectExtent l="0" t="0" r="0" b="0"/>
            <wp:docPr id="1536868207" name="Picture 1536868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A230C" w14:textId="77777777" w:rsidR="002B59C7" w:rsidRDefault="00475B93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Patterns: </w:t>
      </w:r>
      <w:r>
        <w:t>real-time REST/SOAP over OSN (Fusion↔OIC); batch FBDI/HDL via Object Storage/UCM; ERP Business Events outbound; B2B files via OIC File Server (legacy MFT/SFTP replacement per roadmap) and APIs via API Gateway with per-consumer usage plans.</w:t>
      </w:r>
    </w:p>
    <w:p w14:paraId="35FF7062" w14:textId="77777777" w:rsidR="002B59C7" w:rsidRDefault="00475B93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Governance annex: </w:t>
      </w:r>
      <w:r>
        <w:t>integrations named &lt;DOMAIN&gt;-&lt;SOURCE&gt;-&lt;TARGET&gt;-&lt;FUNCTION&gt;; connections use Vault-held service accounts only; global fault handler + error hospital mandatory; ServiceDeveloper role exists only in DEV — TST/PRD receive artifacts via the pipeline identity (ServiceDeployer); File Server folders OIC/&lt;project&gt;/{in,out,archive,error} with group grants.</w:t>
      </w:r>
    </w:p>
    <w:p w14:paraId="23871E2B" w14:textId="77777777" w:rsidR="002B59C7" w:rsidRDefault="00475B93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Service accounts (per environment): </w:t>
      </w:r>
      <w:r>
        <w:t>svc-oic-{env}-fusion (Fusion integration roles), svc-oic-{env}-atp-stg (staging schemas), svc-oic-{env}-osbucket (object storage), svc-devops-{env}-oicdeploy (pipeline) — all Vault-held, 90-day rotation, certified quarterly.</w:t>
      </w:r>
    </w:p>
    <w:p w14:paraId="119D24CD" w14:textId="77777777" w:rsidR="002B59C7" w:rsidRDefault="00475B93">
      <w:pPr>
        <w:pStyle w:val="Heading1"/>
        <w:spacing w:before="300" w:after="150"/>
      </w:pPr>
      <w:r>
        <w:rPr>
          <w:b/>
          <w:bCs/>
          <w:color w:val="C74634"/>
          <w:sz w:val="30"/>
          <w:szCs w:val="30"/>
        </w:rPr>
        <w:t>6. Analytics — Fusion Data Intelligence</w:t>
      </w:r>
    </w:p>
    <w:p w14:paraId="54998365" w14:textId="77777777" w:rsidR="002B59C7" w:rsidRDefault="00475B93">
      <w:pPr>
        <w:spacing w:before="40" w:after="120"/>
        <w:jc w:val="center"/>
      </w:pPr>
      <w:r>
        <w:rPr>
          <w:noProof/>
        </w:rPr>
        <w:drawing>
          <wp:inline distT="0" distB="0" distL="0" distR="0" wp14:anchorId="431D2F80" wp14:editId="51B41BA3">
            <wp:extent cx="6667500" cy="3657600"/>
            <wp:effectExtent l="0" t="0" r="0" b="0"/>
            <wp:docPr id="135838292" name="Picture 135838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29901" w14:textId="77777777" w:rsidR="002B59C7" w:rsidRDefault="00475B93">
      <w:pPr>
        <w:pStyle w:val="ListParagraph"/>
        <w:numPr>
          <w:ilvl w:val="0"/>
          <w:numId w:val="2"/>
        </w:numPr>
        <w:spacing w:after="60"/>
      </w:pPr>
      <w:r>
        <w:t>FDI (OAC + Oracle-managed ADW) lives in the Analytics compartment — PRD first, non-prod later; subject areas limited to licensed pillars; FDI application roles mapped 1:1 to Fusion job roles with row-level security from Fusion data security (no side-door reporting access); pipeline re-baselined after every P2T refresh; LEGACY_HIST custom schemas hold retained legacy history (decision D6); certified reporting, documented lineage, and quarterly data-quality reviews per framework §14. OTBI stays the in-pod opera</w:t>
      </w:r>
      <w:r>
        <w:t>tional reporting layer; FDI is cross-pillar, historical, curated.</w:t>
      </w:r>
    </w:p>
    <w:p w14:paraId="1BC470A4" w14:textId="77777777" w:rsidR="002B59C7" w:rsidRDefault="00475B93">
      <w:r>
        <w:br w:type="page"/>
      </w:r>
    </w:p>
    <w:p w14:paraId="5A21FCAC" w14:textId="77777777" w:rsidR="002B59C7" w:rsidRDefault="00475B93">
      <w:pPr>
        <w:pStyle w:val="Heading1"/>
        <w:spacing w:before="300" w:after="150"/>
      </w:pPr>
      <w:r>
        <w:rPr>
          <w:b/>
          <w:bCs/>
          <w:color w:val="C74634"/>
          <w:sz w:val="30"/>
          <w:szCs w:val="30"/>
        </w:rPr>
        <w:t>7. MDM / ETL &amp; Data Migration</w:t>
      </w:r>
    </w:p>
    <w:p w14:paraId="64E73C0E" w14:textId="77777777" w:rsidR="002B59C7" w:rsidRDefault="00475B93">
      <w:pPr>
        <w:spacing w:before="40" w:after="120"/>
        <w:jc w:val="center"/>
      </w:pPr>
      <w:r>
        <w:rPr>
          <w:noProof/>
        </w:rPr>
        <w:drawing>
          <wp:inline distT="0" distB="0" distL="0" distR="0" wp14:anchorId="059529C4" wp14:editId="466FE6BF">
            <wp:extent cx="6667500" cy="3924300"/>
            <wp:effectExtent l="0" t="0" r="0" b="0"/>
            <wp:docPr id="1809303831" name="Picture 1809303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7E2AB" w14:textId="77777777" w:rsidR="002B59C7" w:rsidRDefault="00475B93">
      <w:pPr>
        <w:pStyle w:val="Heading3"/>
        <w:spacing w:before="170" w:after="90"/>
      </w:pPr>
      <w:r>
        <w:rPr>
          <w:b/>
          <w:bCs/>
          <w:color w:val="6B6560"/>
          <w:sz w:val="22"/>
          <w:szCs w:val="22"/>
        </w:rPr>
        <w:t>7.1 Master Data Management (MDM)</w:t>
      </w:r>
    </w:p>
    <w:p w14:paraId="61BF7E14" w14:textId="77777777" w:rsidR="002B59C7" w:rsidRDefault="00475B93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Authority model: </w:t>
      </w:r>
      <w:r>
        <w:t>at go-live Fusion becomes the single master-data authority (GOV-DA-03) — there is no separate MDM hub, and none is needed at this footprint: master changes are made only in Fusion, and every downstream consumer receives them via governed paths (business events, REST reads, FDI extracts). The legacy ERP goes read-only then decommissions; no permanent coexistence.</w:t>
      </w:r>
    </w:p>
    <w:tbl>
      <w:tblPr>
        <w:tblW w:w="8360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3100"/>
        <w:gridCol w:w="2760"/>
      </w:tblGrid>
      <w:tr w:rsidR="002B59C7" w14:paraId="7C8E6CC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A54BBCE" w14:textId="77777777" w:rsidR="002B59C7" w:rsidRDefault="00475B93"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Master data domain</w:t>
            </w:r>
          </w:p>
        </w:tc>
        <w:tc>
          <w:tcPr>
            <w:tcW w:w="31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FB58EF2" w14:textId="77777777" w:rsidR="002B59C7" w:rsidRDefault="00475B93"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Mastered in</w:t>
            </w:r>
          </w:p>
        </w:tc>
        <w:tc>
          <w:tcPr>
            <w:tcW w:w="27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2339D433" w14:textId="77777777" w:rsidR="002B59C7" w:rsidRDefault="00475B93"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Steward (accountable)</w:t>
            </w:r>
          </w:p>
        </w:tc>
      </w:tr>
      <w:tr w:rsidR="002B59C7" w14:paraId="597DF8D2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EF04710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Chart of accounts, segment values, ledgers/LE/BUs</w:t>
            </w:r>
          </w:p>
        </w:tc>
        <w:tc>
          <w:tcPr>
            <w:tcW w:w="31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2E32E51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Fusion GL/Enterprise Structures</w:t>
            </w:r>
          </w:p>
        </w:tc>
        <w:tc>
          <w:tcPr>
            <w:tcW w:w="27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4074BCDB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Finance (Controller)</w:t>
            </w:r>
          </w:p>
        </w:tc>
      </w:tr>
      <w:tr w:rsidR="002B59C7" w14:paraId="0C654EFC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50BF7345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Suppliers (+sites, bank details)</w:t>
            </w:r>
          </w:p>
        </w:tc>
        <w:tc>
          <w:tcPr>
            <w:tcW w:w="31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5BB5F5E2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Fusion Procurement/AP</w:t>
            </w:r>
          </w:p>
        </w:tc>
        <w:tc>
          <w:tcPr>
            <w:tcW w:w="27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EA6B471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Procurement / AP</w:t>
            </w:r>
          </w:p>
        </w:tc>
      </w:tr>
      <w:tr w:rsidR="002B59C7" w14:paraId="30F51A23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2593DDCF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Customers</w:t>
            </w:r>
          </w:p>
        </w:tc>
        <w:tc>
          <w:tcPr>
            <w:tcW w:w="31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4B113E2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Fusion AR / CX (shared party model)</w:t>
            </w:r>
          </w:p>
        </w:tc>
        <w:tc>
          <w:tcPr>
            <w:tcW w:w="27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8549C19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AR / Sales ops</w:t>
            </w:r>
          </w:p>
        </w:tc>
      </w:tr>
      <w:tr w:rsidR="002B59C7" w14:paraId="320C27C0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45F88D40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Items / products</w:t>
            </w:r>
          </w:p>
        </w:tc>
        <w:tc>
          <w:tcPr>
            <w:tcW w:w="31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B4FB69A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Fusion SCM Product Hub</w:t>
            </w:r>
          </w:p>
        </w:tc>
        <w:tc>
          <w:tcPr>
            <w:tcW w:w="27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C1D106D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SCM lead</w:t>
            </w:r>
          </w:p>
        </w:tc>
      </w:tr>
      <w:tr w:rsidR="002B59C7" w14:paraId="6736D5DB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175DB7DC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Workers, jobs, positions, grades</w:t>
            </w:r>
          </w:p>
        </w:tc>
        <w:tc>
          <w:tcPr>
            <w:tcW w:w="31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16334DD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Fusion HCM (also identity source of record)</w:t>
            </w:r>
          </w:p>
        </w:tc>
        <w:tc>
          <w:tcPr>
            <w:tcW w:w="27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55EFAFC4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HR lead</w:t>
            </w:r>
          </w:p>
        </w:tc>
      </w:tr>
      <w:tr w:rsidR="002B59C7" w14:paraId="5BF3750A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DB72E31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Projects, assets, cost centres</w:t>
            </w:r>
          </w:p>
        </w:tc>
        <w:tc>
          <w:tcPr>
            <w:tcW w:w="31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773DC67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Fusion PPM / FA / GL</w:t>
            </w:r>
          </w:p>
        </w:tc>
        <w:tc>
          <w:tcPr>
            <w:tcW w:w="27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2DB23A5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PPM / Assets / Finance</w:t>
            </w:r>
          </w:p>
        </w:tc>
      </w:tr>
      <w:tr w:rsidR="002B59C7" w14:paraId="2FB1A04C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25DDE377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Bank accounts</w:t>
            </w:r>
          </w:p>
        </w:tc>
        <w:tc>
          <w:tcPr>
            <w:tcW w:w="31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4C6C161C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Fusion Cash Management</w:t>
            </w:r>
          </w:p>
        </w:tc>
        <w:tc>
          <w:tcPr>
            <w:tcW w:w="27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9990DC1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Treasury</w:t>
            </w:r>
          </w:p>
        </w:tc>
      </w:tr>
    </w:tbl>
    <w:p w14:paraId="4C5F4EC3" w14:textId="77777777" w:rsidR="002B59C7" w:rsidRDefault="00475B93">
      <w:pPr>
        <w:pStyle w:val="ListParagraph"/>
        <w:numPr>
          <w:ilvl w:val="0"/>
          <w:numId w:val="2"/>
        </w:numPr>
        <w:spacing w:after="60"/>
      </w:pPr>
      <w:r>
        <w:t>Change governance: supplier-bank-detail and similar high-risk master changes ride Fusion approval workflows + SoD; downstream systems never write master data back; data-quality KPIs (duplicate rate, completeness) reported at the quarterly data review.</w:t>
      </w:r>
    </w:p>
    <w:p w14:paraId="7F5D6FCB" w14:textId="77777777" w:rsidR="002B59C7" w:rsidRDefault="00475B93">
      <w:pPr>
        <w:pStyle w:val="Heading3"/>
        <w:spacing w:before="170" w:after="90"/>
      </w:pPr>
      <w:r>
        <w:rPr>
          <w:b/>
          <w:bCs/>
          <w:color w:val="6B6560"/>
          <w:sz w:val="22"/>
          <w:szCs w:val="22"/>
        </w:rPr>
        <w:t>7.2 ETL architecture</w:t>
      </w:r>
    </w:p>
    <w:p w14:paraId="3E96C099" w14:textId="77777777" w:rsidR="002B59C7" w:rsidRDefault="00475B93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One-time conversion (D6): </w:t>
      </w:r>
      <w:r>
        <w:t>the legacy ERP extract (CSV + checksum manifests) → Object Storage inbound → OIC validate/cleanse/transform with ATP staging (STG_RAW → STG_CONFORMED → XREF) → FBDI zips / HDL files / REST imports in the strict 10-step load sequence → machine-readable reconciliation per object → data-owner sign-off; 3 mock cycles then cutover; migration artifacts Confidential with lifecycle deletion.</w:t>
      </w:r>
    </w:p>
    <w:p w14:paraId="38677F2E" w14:textId="77777777" w:rsidR="002B59C7" w:rsidRDefault="00475B93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Steady-state ETL/ELT: </w:t>
      </w:r>
      <w:r>
        <w:t>scheduled OIC batch (FBDI/HDL) for recurring bulk interfaces; FDI managed pipeline is the ONLY bulk extract path from Fusion (ELT into ADW); ATP Data Transforms handles augmentation modeling in Analytics; every job has error-hospital handling, alerting via SupportGroup tag, and registered flows. Rule: no new point-to-point extract from Fusion, ever — analytics consumers read from FDI/ADW curated layers.</w:t>
      </w:r>
    </w:p>
    <w:p w14:paraId="7586DA21" w14:textId="77777777" w:rsidR="002B59C7" w:rsidRDefault="00475B93">
      <w:r>
        <w:br w:type="page"/>
      </w:r>
    </w:p>
    <w:p w14:paraId="516B1CB2" w14:textId="77777777" w:rsidR="002B59C7" w:rsidRDefault="00475B93">
      <w:pPr>
        <w:pStyle w:val="Heading1"/>
        <w:spacing w:before="300" w:after="150"/>
      </w:pPr>
      <w:r>
        <w:rPr>
          <w:b/>
          <w:bCs/>
          <w:color w:val="C74634"/>
          <w:sz w:val="30"/>
          <w:szCs w:val="30"/>
        </w:rPr>
        <w:t>8. Security Architecture</w:t>
      </w:r>
    </w:p>
    <w:p w14:paraId="1538CA7C" w14:textId="77777777" w:rsidR="002B59C7" w:rsidRDefault="00475B93">
      <w:pPr>
        <w:spacing w:before="40" w:after="120"/>
        <w:jc w:val="center"/>
      </w:pPr>
      <w:r>
        <w:rPr>
          <w:noProof/>
        </w:rPr>
        <w:drawing>
          <wp:inline distT="0" distB="0" distL="0" distR="0" wp14:anchorId="4DF3FD1C" wp14:editId="2441FF34">
            <wp:extent cx="6667500" cy="4019550"/>
            <wp:effectExtent l="0" t="0" r="0" b="0"/>
            <wp:docPr id="1074066167" name="Picture 1074066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CA727" w14:textId="77777777" w:rsidR="002B59C7" w:rsidRDefault="00475B93">
      <w:pPr>
        <w:pStyle w:val="Heading3"/>
        <w:spacing w:before="170" w:after="90"/>
      </w:pPr>
      <w:r>
        <w:rPr>
          <w:b/>
          <w:bCs/>
          <w:color w:val="6B6560"/>
          <w:sz w:val="22"/>
          <w:szCs w:val="22"/>
        </w:rPr>
        <w:t>8.1 Identity &amp; access (IAM + Entra ID federation)</w:t>
      </w:r>
    </w:p>
    <w:p w14:paraId="66654E2B" w14:textId="77777777" w:rsidR="002B59C7" w:rsidRDefault="00475B93">
      <w:pPr>
        <w:pStyle w:val="ListParagraph"/>
        <w:numPr>
          <w:ilvl w:val="0"/>
          <w:numId w:val="2"/>
        </w:numPr>
        <w:spacing w:after="60"/>
      </w:pPr>
      <w:r>
        <w:t>Entra ID is the sole IdP: SAML 2.0/OIDC federation into OCI identity domains (Default = platform admins + 2 alarmed break-glass accounts only; WORKFORCE = all federated humans incl. time-boxed vendor B2B guests); Conditional Access + MFA on every interactive path; SCIM provisioning; HCM drives joiner/mover/leaver. Authorization is group-only: Entra groups → OCI-* groups → compartment-scoped policies (default-deny, no wildcard admin outside break-glass); service accounts are per-system-per-environment with V</w:t>
      </w:r>
      <w:r>
        <w:t>ault-held credentials rotated ≤ 90 days; quarterly access certification covers both OCI groups and Fusion roles. Access flows A–F are specified in Vol. 7 §5 (D12).</w:t>
      </w:r>
    </w:p>
    <w:p w14:paraId="5774C101" w14:textId="77777777" w:rsidR="002B59C7" w:rsidRDefault="00475B93">
      <w:pPr>
        <w:pStyle w:val="Heading3"/>
        <w:spacing w:before="170" w:after="90"/>
      </w:pPr>
      <w:r>
        <w:rPr>
          <w:b/>
          <w:bCs/>
          <w:color w:val="6B6560"/>
          <w:sz w:val="22"/>
          <w:szCs w:val="22"/>
        </w:rPr>
        <w:t>8.2 OCI security service catalog (what runs, where, why)</w:t>
      </w:r>
    </w:p>
    <w:tbl>
      <w:tblPr>
        <w:tblW w:w="10360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3500"/>
        <w:gridCol w:w="2300"/>
        <w:gridCol w:w="1160"/>
        <w:gridCol w:w="1400"/>
      </w:tblGrid>
      <w:tr w:rsidR="002B59C7" w14:paraId="4CD4ADC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51D2718" w14:textId="77777777" w:rsidR="002B59C7" w:rsidRDefault="00475B93"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Service</w:t>
            </w:r>
          </w:p>
        </w:tc>
        <w:tc>
          <w:tcPr>
            <w:tcW w:w="3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A71947E" w14:textId="77777777" w:rsidR="002B59C7" w:rsidRDefault="00475B93"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Role in this design</w:t>
            </w:r>
          </w:p>
        </w:tc>
        <w:tc>
          <w:tcPr>
            <w:tcW w:w="2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25A7845" w14:textId="77777777" w:rsidR="002B59C7" w:rsidRDefault="00475B93"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Scope</w:t>
            </w:r>
          </w:p>
        </w:tc>
        <w:tc>
          <w:tcPr>
            <w:tcW w:w="11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53C4C861" w14:textId="77777777" w:rsidR="002B59C7" w:rsidRDefault="00475B93"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Wave</w:t>
            </w:r>
          </w:p>
        </w:tc>
        <w:tc>
          <w:tcPr>
            <w:tcW w:w="1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F481EDC" w14:textId="77777777" w:rsidR="002B59C7" w:rsidRDefault="00475B93"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Owner</w:t>
            </w:r>
          </w:p>
        </w:tc>
      </w:tr>
      <w:tr w:rsidR="002B59C7" w14:paraId="6C6E95BE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161C36B7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IAM + Identity Domains</w:t>
            </w:r>
          </w:p>
        </w:tc>
        <w:tc>
          <w:tcPr>
            <w:tcW w:w="3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536BC885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Federation, groups, policies, break-glass — §8.1</w:t>
            </w:r>
          </w:p>
        </w:tc>
        <w:tc>
          <w:tcPr>
            <w:tcW w:w="2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8F87F70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Tenancy</w:t>
            </w:r>
          </w:p>
        </w:tc>
        <w:tc>
          <w:tcPr>
            <w:tcW w:w="11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203DE5D3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W0</w:t>
            </w:r>
          </w:p>
        </w:tc>
        <w:tc>
          <w:tcPr>
            <w:tcW w:w="1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1A685FB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IAM team</w:t>
            </w:r>
          </w:p>
        </w:tc>
      </w:tr>
      <w:tr w:rsidR="002B59C7" w14:paraId="60464663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97396A1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Compartments + policies</w:t>
            </w:r>
          </w:p>
        </w:tc>
        <w:tc>
          <w:tcPr>
            <w:tcW w:w="3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12668691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Structural least privilege; absence-of-allow IS the deny</w:t>
            </w:r>
          </w:p>
        </w:tc>
        <w:tc>
          <w:tcPr>
            <w:tcW w:w="2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245279F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Tenancy</w:t>
            </w:r>
          </w:p>
        </w:tc>
        <w:tc>
          <w:tcPr>
            <w:tcW w:w="11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20DA20E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W0–W1</w:t>
            </w:r>
          </w:p>
        </w:tc>
        <w:tc>
          <w:tcPr>
            <w:tcW w:w="1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500EBBC5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Infra Ops (Security A)</w:t>
            </w:r>
          </w:p>
        </w:tc>
      </w:tr>
      <w:tr w:rsidR="002B59C7" w14:paraId="1B31DC76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3072B4C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Security Zones</w:t>
            </w:r>
          </w:p>
        </w:tc>
        <w:tc>
          <w:tcPr>
            <w:tcW w:w="3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4514A23B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Preventive guardrails: no public buckets/IPs, no IGW, encryption required — violations impossible</w:t>
            </w:r>
          </w:p>
        </w:tc>
        <w:tc>
          <w:tcPr>
            <w:tcW w:w="2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43A07DF0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PRD · Analytics · Vault-KMS · Regulated</w:t>
            </w:r>
          </w:p>
        </w:tc>
        <w:tc>
          <w:tcPr>
            <w:tcW w:w="11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F0C3C1F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W1</w:t>
            </w:r>
          </w:p>
        </w:tc>
        <w:tc>
          <w:tcPr>
            <w:tcW w:w="1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136B6C99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Security</w:t>
            </w:r>
          </w:p>
        </w:tc>
      </w:tr>
      <w:tr w:rsidR="002B59C7" w14:paraId="4B72CD79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2E35B27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Cloud Guard</w:t>
            </w:r>
          </w:p>
        </w:tc>
        <w:tc>
          <w:tcPr>
            <w:tcW w:w="3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472CE187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CSPM: detectors + graduated responders (auto-remediate DEV → alert-only PRD); posture score KPI</w:t>
            </w:r>
          </w:p>
        </w:tc>
        <w:tc>
          <w:tcPr>
            <w:tcW w:w="2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1FD4C346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Tenancy target</w:t>
            </w:r>
          </w:p>
        </w:tc>
        <w:tc>
          <w:tcPr>
            <w:tcW w:w="11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405415FE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W0</w:t>
            </w:r>
          </w:p>
        </w:tc>
        <w:tc>
          <w:tcPr>
            <w:tcW w:w="1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4DC88A3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Security</w:t>
            </w:r>
          </w:p>
        </w:tc>
      </w:tr>
      <w:tr w:rsidR="002B59C7" w14:paraId="5148CC85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E418954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Vault / KMS</w:t>
            </w:r>
          </w:p>
        </w:tc>
        <w:tc>
          <w:tcPr>
            <w:tcW w:w="3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33E245A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Secrets (OIC connections, svc accounts, SFTP keys, wallets) + master keys; 90d rotation; customer-managed keys for PRD/Analytics/Regulated storage</w:t>
            </w:r>
          </w:p>
        </w:tc>
        <w:tc>
          <w:tcPr>
            <w:tcW w:w="2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2053317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Shared-Services:Vault-KMS [SZ]</w:t>
            </w:r>
          </w:p>
        </w:tc>
        <w:tc>
          <w:tcPr>
            <w:tcW w:w="11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1C85BB26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W0</w:t>
            </w:r>
          </w:p>
        </w:tc>
        <w:tc>
          <w:tcPr>
            <w:tcW w:w="1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51695759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Security</w:t>
            </w:r>
          </w:p>
        </w:tc>
      </w:tr>
      <w:tr w:rsidR="002B59C7" w14:paraId="09A07287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0DAE653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Encryption</w:t>
            </w:r>
          </w:p>
        </w:tc>
        <w:tc>
          <w:tcPr>
            <w:tcW w:w="3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18C30075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At rest: AES-256 everywhere, ATP TDE, CMK where supported. In transit: TLS 1.2+ all paths, mTLS 1522 to ATP, signed SAML assertions</w:t>
            </w:r>
          </w:p>
        </w:tc>
        <w:tc>
          <w:tcPr>
            <w:tcW w:w="2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BF53730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Everywhere — non-negotiable</w:t>
            </w:r>
          </w:p>
        </w:tc>
        <w:tc>
          <w:tcPr>
            <w:tcW w:w="11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5952E622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Always</w:t>
            </w:r>
          </w:p>
        </w:tc>
        <w:tc>
          <w:tcPr>
            <w:tcW w:w="1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5C537AF2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Security</w:t>
            </w:r>
          </w:p>
        </w:tc>
      </w:tr>
      <w:tr w:rsidR="002B59C7" w14:paraId="1171720E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B566BFF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Certificates</w:t>
            </w:r>
          </w:p>
        </w:tc>
        <w:tc>
          <w:tcPr>
            <w:tcW w:w="3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D7A165C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TLS certificate lifecycle for LB / API GW listeners; renewal alarms</w:t>
            </w:r>
          </w:p>
        </w:tc>
        <w:tc>
          <w:tcPr>
            <w:tcW w:w="2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FB8CA05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Integration-Shared endpoints</w:t>
            </w:r>
          </w:p>
        </w:tc>
        <w:tc>
          <w:tcPr>
            <w:tcW w:w="11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F2B12BB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W2</w:t>
            </w:r>
          </w:p>
        </w:tc>
        <w:tc>
          <w:tcPr>
            <w:tcW w:w="1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27A85F2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Infra Ops</w:t>
            </w:r>
          </w:p>
        </w:tc>
      </w:tr>
      <w:tr w:rsidR="002B59C7" w14:paraId="07B9B00B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48312E18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Data Safe</w:t>
            </w:r>
          </w:p>
        </w:tc>
        <w:tc>
          <w:tcPr>
            <w:tcW w:w="3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21C2329A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For ATP/ADW: security + user assessments, sensitive-data discovery, MASKING for non-prod copies (Confidential never lands unmasked in DEV/TST — enforces GOV-DA-01), activity auditing → SIEM</w:t>
            </w:r>
          </w:p>
        </w:tc>
        <w:tc>
          <w:tcPr>
            <w:tcW w:w="2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21BF64B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ATP all envs + FDI ADW</w:t>
            </w:r>
          </w:p>
        </w:tc>
        <w:tc>
          <w:tcPr>
            <w:tcW w:w="11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5C4657F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W2–W3</w:t>
            </w:r>
          </w:p>
        </w:tc>
        <w:tc>
          <w:tcPr>
            <w:tcW w:w="1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A76B991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Security + DBA</w:t>
            </w:r>
          </w:p>
        </w:tc>
      </w:tr>
      <w:tr w:rsidR="002B59C7" w14:paraId="4E0411D3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9A34A98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Vulnerability Scanning (VSS)</w:t>
            </w:r>
          </w:p>
        </w:tc>
        <w:tc>
          <w:tcPr>
            <w:tcW w:w="3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87196B1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Host + container-image scanning for any compute (partner/VBS app VMs, ADO agents); findings → Cloud Guard</w:t>
            </w:r>
          </w:p>
        </w:tc>
        <w:tc>
          <w:tcPr>
            <w:tcW w:w="2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8AEC651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App-Processing compute</w:t>
            </w:r>
          </w:p>
        </w:tc>
        <w:tc>
          <w:tcPr>
            <w:tcW w:w="11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3FAC5E0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W2</w:t>
            </w:r>
          </w:p>
        </w:tc>
        <w:tc>
          <w:tcPr>
            <w:tcW w:w="1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68601E9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Security (App Dev remediates)</w:t>
            </w:r>
          </w:p>
        </w:tc>
      </w:tr>
      <w:tr w:rsidR="002B59C7" w14:paraId="5EEA2D12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D2C9EC0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OS Management Hub</w:t>
            </w:r>
          </w:p>
        </w:tc>
        <w:tc>
          <w:tcPr>
            <w:tcW w:w="3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3D2F017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OS patch + compliance management for all compute instances; patch windows per ChangeWindow tag</w:t>
            </w:r>
          </w:p>
        </w:tc>
        <w:tc>
          <w:tcPr>
            <w:tcW w:w="2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4E5148A5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All compute (incl. ADO agent pool)</w:t>
            </w:r>
          </w:p>
        </w:tc>
        <w:tc>
          <w:tcPr>
            <w:tcW w:w="11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1F5CB4D0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W2</w:t>
            </w:r>
          </w:p>
        </w:tc>
        <w:tc>
          <w:tcPr>
            <w:tcW w:w="1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4291655B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Infra Ops</w:t>
            </w:r>
          </w:p>
        </w:tc>
      </w:tr>
      <w:tr w:rsidR="002B59C7" w14:paraId="0C962203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58D003A6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Bastion</w:t>
            </w:r>
          </w:p>
        </w:tc>
        <w:tc>
          <w:tcPr>
            <w:tcW w:w="3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F28D7AA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Session-managed admin access to private compute/ATP — no jump hosts, no SSH from internet, sessions time-boxed + recorded in audit</w:t>
            </w:r>
          </w:p>
        </w:tc>
        <w:tc>
          <w:tcPr>
            <w:tcW w:w="2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1CE65EDD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App-Processing / Regulated</w:t>
            </w:r>
          </w:p>
        </w:tc>
        <w:tc>
          <w:tcPr>
            <w:tcW w:w="11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4CD21069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W1</w:t>
            </w:r>
          </w:p>
        </w:tc>
        <w:tc>
          <w:tcPr>
            <w:tcW w:w="1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1CC7AF7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Infra Ops</w:t>
            </w:r>
          </w:p>
        </w:tc>
      </w:tr>
      <w:tr w:rsidR="002B59C7" w14:paraId="6498DB6F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6A37D1E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WAF</w:t>
            </w:r>
          </w:p>
        </w:tc>
        <w:tc>
          <w:tcPr>
            <w:tcW w:w="3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903D24B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OCI WAF policies on public-facing LB + API Gateway: OWASP protections, rate limiting, geo/IP controls — hardens flows E1/E2/E4</w:t>
            </w:r>
          </w:p>
        </w:tc>
        <w:tc>
          <w:tcPr>
            <w:tcW w:w="2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22A784C1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Integration-Shared public edges</w:t>
            </w:r>
          </w:p>
        </w:tc>
        <w:tc>
          <w:tcPr>
            <w:tcW w:w="11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F9C9D2F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W2</w:t>
            </w:r>
          </w:p>
        </w:tc>
        <w:tc>
          <w:tcPr>
            <w:tcW w:w="1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646C8FA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Security + Network</w:t>
            </w:r>
          </w:p>
        </w:tc>
      </w:tr>
      <w:tr w:rsidR="002B59C7" w14:paraId="22FCE483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57272F81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NSGs</w:t>
            </w:r>
          </w:p>
        </w:tc>
        <w:tc>
          <w:tcPr>
            <w:tcW w:w="3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15563D36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Micro-segmentation, default-deny both directions; rule matrix in Vol. 5 §6.3</w:t>
            </w:r>
          </w:p>
        </w:tc>
        <w:tc>
          <w:tcPr>
            <w:tcW w:w="2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2876EFD3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All subnets</w:t>
            </w:r>
          </w:p>
        </w:tc>
        <w:tc>
          <w:tcPr>
            <w:tcW w:w="11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5DB35C2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W1</w:t>
            </w:r>
          </w:p>
        </w:tc>
        <w:tc>
          <w:tcPr>
            <w:tcW w:w="1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5AA57F2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Network (Security A on rules)</w:t>
            </w:r>
          </w:p>
        </w:tc>
      </w:tr>
      <w:tr w:rsidR="002B59C7" w14:paraId="449F8034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5AD74A55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Audit + Logging + Log Analytics</w:t>
            </w:r>
          </w:p>
        </w:tc>
        <w:tc>
          <w:tcPr>
            <w:tcW w:w="3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104B896E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Tenancy audit at max retention; service + flow logs to Governance sinks; deletion not grantable to operational groups</w:t>
            </w:r>
          </w:p>
        </w:tc>
        <w:tc>
          <w:tcPr>
            <w:tcW w:w="2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CE3FFAD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Tenancy → Governance</w:t>
            </w:r>
          </w:p>
        </w:tc>
        <w:tc>
          <w:tcPr>
            <w:tcW w:w="11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11D46AF7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W0</w:t>
            </w:r>
          </w:p>
        </w:tc>
        <w:tc>
          <w:tcPr>
            <w:tcW w:w="1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1D18346A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Security</w:t>
            </w:r>
          </w:p>
        </w:tc>
      </w:tr>
      <w:tr w:rsidR="002B59C7" w14:paraId="0A28FEAE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6061F7C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Threat Intelligence</w:t>
            </w:r>
          </w:p>
        </w:tc>
        <w:tc>
          <w:tcPr>
            <w:tcW w:w="3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23F2B4A9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Feeds Cloud Guard detectors with Oracle threat intel for indicator matching</w:t>
            </w:r>
          </w:p>
        </w:tc>
        <w:tc>
          <w:tcPr>
            <w:tcW w:w="2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1097E5A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Tenancy</w:t>
            </w:r>
          </w:p>
        </w:tc>
        <w:tc>
          <w:tcPr>
            <w:tcW w:w="11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54411D0F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W0 (with Cloud Guard)</w:t>
            </w:r>
          </w:p>
        </w:tc>
        <w:tc>
          <w:tcPr>
            <w:tcW w:w="1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104A489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Security</w:t>
            </w:r>
          </w:p>
        </w:tc>
      </w:tr>
      <w:tr w:rsidR="002B59C7" w14:paraId="7683010F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1BF03B2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SIEM — Microsoft Sentinel</w:t>
            </w:r>
          </w:p>
        </w:tc>
        <w:tc>
          <w:tcPr>
            <w:tcW w:w="3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7FD9D20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Single pane: OCI audit/flow/Cloud Guard findings stream via Service Connector Hub → Sentinel connectors, severity-mapped with Defender/M365 signals — closes gate D9; multi-cloud ready (Vol. 9)</w:t>
            </w:r>
          </w:p>
        </w:tc>
        <w:tc>
          <w:tcPr>
            <w:tcW w:w="2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5781D02E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Cross-cloud</w:t>
            </w:r>
          </w:p>
        </w:tc>
        <w:tc>
          <w:tcPr>
            <w:tcW w:w="11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2A1C62C8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W2</w:t>
            </w:r>
          </w:p>
        </w:tc>
        <w:tc>
          <w:tcPr>
            <w:tcW w:w="1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1E0665FB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Security (SOC)</w:t>
            </w:r>
          </w:p>
        </w:tc>
      </w:tr>
      <w:tr w:rsidR="002B59C7" w14:paraId="6D602F40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1ACC831B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Oracle Access Governance</w:t>
            </w:r>
          </w:p>
        </w:tc>
        <w:tc>
          <w:tcPr>
            <w:tcW w:w="3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2CE5097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OPTIONAL roadmap: automates the quarterly access certification across OCI + Fusion roles</w:t>
            </w:r>
          </w:p>
        </w:tc>
        <w:tc>
          <w:tcPr>
            <w:tcW w:w="23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2FF68A05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Roadmap (Optimize)</w:t>
            </w:r>
          </w:p>
        </w:tc>
        <w:tc>
          <w:tcPr>
            <w:tcW w:w="11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2019C181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post-go-live</w:t>
            </w:r>
          </w:p>
        </w:tc>
        <w:tc>
          <w:tcPr>
            <w:tcW w:w="1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1721239E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IAM team</w:t>
            </w:r>
          </w:p>
        </w:tc>
      </w:tr>
    </w:tbl>
    <w:p w14:paraId="1E0195B3" w14:textId="77777777" w:rsidR="002B59C7" w:rsidRDefault="00475B93">
      <w:pPr>
        <w:spacing w:after="140"/>
      </w:pPr>
      <w:r>
        <w:rPr>
          <w:sz w:val="20"/>
          <w:szCs w:val="20"/>
        </w:rPr>
        <w:t>Network and access flow enforcement (D11/D12, Vol. 7) is the runtime complement to this catalog: six-layer defense in depth — routing, NSG, Security Zone, service allow-lists, identity/secrets, detection — with the standing rule that an unregistered flow does not exist.</w:t>
      </w:r>
    </w:p>
    <w:p w14:paraId="3DD8B9C9" w14:textId="77777777" w:rsidR="002B59C7" w:rsidRDefault="00475B93">
      <w:r>
        <w:br w:type="page"/>
      </w:r>
    </w:p>
    <w:p w14:paraId="3E5C31FB" w14:textId="77777777" w:rsidR="002B59C7" w:rsidRDefault="00475B93">
      <w:pPr>
        <w:pStyle w:val="Heading1"/>
        <w:spacing w:before="300" w:after="150"/>
      </w:pPr>
      <w:r>
        <w:rPr>
          <w:b/>
          <w:bCs/>
          <w:color w:val="C74634"/>
          <w:sz w:val="30"/>
          <w:szCs w:val="30"/>
        </w:rPr>
        <w:t>9. Observability &amp; Management</w:t>
      </w:r>
    </w:p>
    <w:tbl>
      <w:tblPr>
        <w:tblW w:w="8360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3900"/>
        <w:gridCol w:w="2060"/>
      </w:tblGrid>
      <w:tr w:rsidR="002B59C7" w14:paraId="5617889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1F63B7A" w14:textId="77777777" w:rsidR="002B59C7" w:rsidRDefault="00475B93"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Layer</w:t>
            </w:r>
          </w:p>
        </w:tc>
        <w:tc>
          <w:tcPr>
            <w:tcW w:w="39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E54BA99" w14:textId="77777777" w:rsidR="002B59C7" w:rsidRDefault="00475B93"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Implementation</w:t>
            </w:r>
          </w:p>
        </w:tc>
        <w:tc>
          <w:tcPr>
            <w:tcW w:w="20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3873C0C" w14:textId="77777777" w:rsidR="002B59C7" w:rsidRDefault="00475B93"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Consumer</w:t>
            </w:r>
          </w:p>
        </w:tc>
      </w:tr>
      <w:tr w:rsidR="002B59C7" w14:paraId="3E269AA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5FE05987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Metrics &amp; alarms</w:t>
            </w:r>
          </w:p>
        </w:tc>
        <w:tc>
          <w:tcPr>
            <w:tcW w:w="39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CD78B3A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OCI Monitoring: ALM-BREAKGLASS-LOGIN (critical, paged) · ALM-OIC-ERRORS-{env} · ALM-ATP-CPU/STORAGE · ALM-BUDGET-* (70/90/100) · ALM-CLOUDGUARD-CRITICAL · ALM-FDI-PIPELINE · ALM-TAG-COMPLIANCE · DR alarms per §12 option</w:t>
            </w:r>
          </w:p>
        </w:tc>
        <w:tc>
          <w:tcPr>
            <w:tcW w:w="20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404FB39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Routed by SupportGroup tag; critical → paged</w:t>
            </w:r>
          </w:p>
        </w:tc>
      </w:tr>
      <w:tr w:rsidR="002B59C7" w14:paraId="3060040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A08473E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Logs</w:t>
            </w:r>
          </w:p>
        </w:tc>
        <w:tc>
          <w:tcPr>
            <w:tcW w:w="39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5AA20D68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Audit + service + VCN flow logs → Governance sinks → Log Analytics group LOGA-PLATFORM-01; dashboards for platform, security, integration health</w:t>
            </w:r>
          </w:p>
        </w:tc>
        <w:tc>
          <w:tcPr>
            <w:tcW w:w="20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15E9409A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Platform ops + SOC</w:t>
            </w:r>
          </w:p>
        </w:tc>
      </w:tr>
      <w:tr w:rsidR="002B59C7" w14:paraId="5AF0F65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E8831B9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Integration observability</w:t>
            </w:r>
          </w:p>
        </w:tc>
        <w:tc>
          <w:tcPr>
            <w:tcW w:w="39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9E87F96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OIC monitoring + error hospital (single front door for integration incidents); resubmission with audit trail</w:t>
            </w:r>
          </w:p>
        </w:tc>
        <w:tc>
          <w:tcPr>
            <w:tcW w:w="20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773A795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Integration support</w:t>
            </w:r>
          </w:p>
        </w:tc>
      </w:tr>
      <w:tr w:rsidR="002B59C7" w14:paraId="478B01D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9274111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Events &amp; notifications</w:t>
            </w:r>
          </w:p>
        </w:tc>
        <w:tc>
          <w:tcPr>
            <w:tcW w:w="39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21F824BC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OCI Events → Notifications topics per team; announcements monitored for Oracle maintenance</w:t>
            </w:r>
          </w:p>
        </w:tc>
        <w:tc>
          <w:tcPr>
            <w:tcW w:w="20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47A607EE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All teams</w:t>
            </w:r>
          </w:p>
        </w:tc>
      </w:tr>
      <w:tr w:rsidR="002B59C7" w14:paraId="1B0C592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AD165EC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Operational calendar</w:t>
            </w:r>
          </w:p>
        </w:tc>
        <w:tc>
          <w:tcPr>
            <w:tcW w:w="39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E3FF504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Fusion quarterly updates + P2T refreshes + OIC patching windows + drill schedule + freeze windows — one calendar</w:t>
            </w:r>
          </w:p>
        </w:tc>
        <w:tc>
          <w:tcPr>
            <w:tcW w:w="20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46A74B9B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Change management</w:t>
            </w:r>
          </w:p>
        </w:tc>
      </w:tr>
      <w:tr w:rsidR="002B59C7" w14:paraId="44DBC83E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43C4A021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Runbooks &amp; registers</w:t>
            </w:r>
          </w:p>
        </w:tc>
        <w:tc>
          <w:tcPr>
            <w:tcW w:w="39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93FFAF6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Environment register, flow register, service-account register, exception register — versioned with the LLD</w:t>
            </w:r>
          </w:p>
        </w:tc>
        <w:tc>
          <w:tcPr>
            <w:tcW w:w="20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568B9B90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Everyone; audited quarterly</w:t>
            </w:r>
          </w:p>
        </w:tc>
      </w:tr>
    </w:tbl>
    <w:p w14:paraId="3E9DBFB3" w14:textId="77777777" w:rsidR="002B59C7" w:rsidRDefault="00475B93">
      <w:pPr>
        <w:pStyle w:val="Heading1"/>
        <w:spacing w:before="300" w:after="150"/>
      </w:pPr>
      <w:r>
        <w:rPr>
          <w:b/>
          <w:bCs/>
          <w:color w:val="C74634"/>
          <w:sz w:val="30"/>
          <w:szCs w:val="30"/>
        </w:rPr>
        <w:t>10. FinOps</w:t>
      </w:r>
    </w:p>
    <w:p w14:paraId="44D01350" w14:textId="77777777" w:rsidR="002B59C7" w:rsidRDefault="00475B93">
      <w:pPr>
        <w:pStyle w:val="ListParagraph"/>
        <w:numPr>
          <w:ilvl w:val="0"/>
          <w:numId w:val="2"/>
        </w:numPr>
        <w:spacing w:after="60"/>
      </w:pPr>
      <w:r>
        <w:t>Attribution: every resource carries BusinessUnit / CostCenter / Partner / Service tags (locked defaults) — ≥98% tag-compliance KPI makes cost data trustworthy; vendor spend shows back per partner.</w:t>
      </w:r>
    </w:p>
    <w:p w14:paraId="7D81C35E" w14:textId="77777777" w:rsidR="002B59C7" w:rsidRDefault="00475B93">
      <w:pPr>
        <w:pStyle w:val="ListParagraph"/>
        <w:numPr>
          <w:ilvl w:val="0"/>
          <w:numId w:val="2"/>
        </w:numPr>
        <w:spacing w:after="60"/>
      </w:pPr>
      <w:r>
        <w:t>Guardrails: budgets per top-level compartment with 70% forecast / 90% / 100% actual alerts; compartment quotas zero-out GPU/HPC/Exadata in DEV and Sandbox; Sandbox reaped monthly via Lifecycle tag.</w:t>
      </w:r>
    </w:p>
    <w:p w14:paraId="7630EF25" w14:textId="77777777" w:rsidR="002B59C7" w:rsidRDefault="00475B93">
      <w:pPr>
        <w:pStyle w:val="ListParagraph"/>
        <w:numPr>
          <w:ilvl w:val="0"/>
          <w:numId w:val="2"/>
        </w:numPr>
        <w:spacing w:after="60"/>
      </w:pPr>
      <w:r>
        <w:t>Cadence: monthly cost review (variance, budget breaches, Cloud Advisor recommendations, ATP auto-scale bounds, storage lifecycle tiering); renewal negotiations armed with real consumption; inter-cloud egress gets its own line once multi-cloud phases begin (§13); FOCUS-based consolidated reporting at multi-cloud P4.</w:t>
      </w:r>
    </w:p>
    <w:p w14:paraId="4E536456" w14:textId="77777777" w:rsidR="002B59C7" w:rsidRDefault="00475B93">
      <w:r>
        <w:br w:type="page"/>
      </w:r>
    </w:p>
    <w:p w14:paraId="703D27DB" w14:textId="77777777" w:rsidR="002B59C7" w:rsidRDefault="00475B93">
      <w:pPr>
        <w:pStyle w:val="Heading1"/>
        <w:spacing w:before="300" w:after="150"/>
      </w:pPr>
      <w:r>
        <w:rPr>
          <w:b/>
          <w:bCs/>
          <w:color w:val="C74634"/>
          <w:sz w:val="30"/>
          <w:szCs w:val="30"/>
        </w:rPr>
        <w:t>11. IaC &amp; CI/CD — Azure DevOps Pipelines + GitHub Repositories</w:t>
      </w:r>
    </w:p>
    <w:p w14:paraId="752EFCFC" w14:textId="77777777" w:rsidR="002B59C7" w:rsidRDefault="00475B93">
      <w:pPr>
        <w:spacing w:after="140"/>
      </w:pPr>
      <w:r>
        <w:rPr>
          <w:b/>
          <w:bCs/>
        </w:rPr>
        <w:t xml:space="preserve">Delivery model: </w:t>
      </w:r>
      <w:r>
        <w:t>GitHub is the source of truth (repos, branch protection, pull requests, CODEOWNERS); Azure DevOps Pipelines is the execution engine (YAML pipelines, Environments with approval gates, agent pools). This pairing keeps developer workflow in GitHub while using ADO's environment-approval model to implement the CAB gate — and it aligns with the Entra-centric identity plane.</w:t>
      </w:r>
    </w:p>
    <w:p w14:paraId="26AC3647" w14:textId="77777777" w:rsidR="002B59C7" w:rsidRDefault="00475B93">
      <w:pPr>
        <w:pStyle w:val="Heading3"/>
        <w:spacing w:before="170" w:after="90"/>
      </w:pPr>
      <w:r>
        <w:rPr>
          <w:b/>
          <w:bCs/>
          <w:color w:val="6B6560"/>
          <w:sz w:val="22"/>
          <w:szCs w:val="22"/>
        </w:rPr>
        <w:t>11.1 Repositories (GitHub)</w:t>
      </w:r>
    </w:p>
    <w:tbl>
      <w:tblPr>
        <w:tblW w:w="9360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4360"/>
        <w:gridCol w:w="2000"/>
      </w:tblGrid>
      <w:tr w:rsidR="002B59C7" w14:paraId="14C5F13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7AAF678" w14:textId="77777777" w:rsidR="002B59C7" w:rsidRDefault="00475B93"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Repo</w:t>
            </w:r>
          </w:p>
        </w:tc>
        <w:tc>
          <w:tcPr>
            <w:tcW w:w="43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4BE27AC" w14:textId="77777777" w:rsidR="002B59C7" w:rsidRDefault="00475B93"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Contents</w:t>
            </w:r>
          </w:p>
        </w:tc>
        <w:tc>
          <w:tcPr>
            <w:tcW w:w="2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E04AF4C" w14:textId="77777777" w:rsidR="002B59C7" w:rsidRDefault="00475B93"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Branch model</w:t>
            </w:r>
          </w:p>
        </w:tc>
      </w:tr>
      <w:tr w:rsidR="002B59C7" w14:paraId="0D2165D7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8C2C4F0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oci-platform</w:t>
            </w:r>
          </w:p>
        </w:tc>
        <w:tc>
          <w:tcPr>
            <w:tcW w:w="43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309E063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Terraform: global/ (IAM, governance, compartments) · modules/ (network-vcn, oic-instance, atp, bucket, security-zone) · envs/ (dev1, dev2, tst, prd) · state in versioned OCI Object Storage per stack</w:t>
            </w:r>
          </w:p>
        </w:tc>
        <w:tc>
          <w:tcPr>
            <w:tcW w:w="2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1CF20E75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main / develop / feature/* / hotfix/* · PR + review mandatory</w:t>
            </w:r>
          </w:p>
        </w:tc>
      </w:tr>
      <w:tr w:rsidR="002B59C7" w14:paraId="61E32A79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554C9995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oic-integrations</w:t>
            </w:r>
          </w:p>
        </w:tc>
        <w:tc>
          <w:tcPr>
            <w:tcW w:w="43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6ACD6F9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OIC design-time exports (nightly job) + configuration plans per environment + DR config plan</w:t>
            </w:r>
          </w:p>
        </w:tc>
        <w:tc>
          <w:tcPr>
            <w:tcW w:w="2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5FBFF33C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same</w:t>
            </w:r>
          </w:p>
        </w:tc>
      </w:tr>
      <w:tr w:rsidR="002B59C7" w14:paraId="7138D338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2E15074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vbs-apps</w:t>
            </w:r>
          </w:p>
        </w:tc>
        <w:tc>
          <w:tcPr>
            <w:tcW w:w="43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8D84C93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VBS application sources, build definitions</w:t>
            </w:r>
          </w:p>
        </w:tc>
        <w:tc>
          <w:tcPr>
            <w:tcW w:w="2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1CFEACD3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same</w:t>
            </w:r>
          </w:p>
        </w:tc>
      </w:tr>
      <w:tr w:rsidR="002B59C7" w14:paraId="7689E782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2C0C10DE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cloud-core</w:t>
            </w:r>
          </w:p>
        </w:tc>
        <w:tc>
          <w:tcPr>
            <w:tcW w:w="43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5EFE27F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Shared: tag schema data, naming validators, policy-as-code tests, CIDR registry, pipeline templates</w:t>
            </w:r>
          </w:p>
        </w:tc>
        <w:tc>
          <w:tcPr>
            <w:tcW w:w="2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ED117C6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same</w:t>
            </w:r>
          </w:p>
        </w:tc>
      </w:tr>
    </w:tbl>
    <w:p w14:paraId="23836B9A" w14:textId="77777777" w:rsidR="002B59C7" w:rsidRDefault="00475B93">
      <w:pPr>
        <w:pStyle w:val="ListParagraph"/>
        <w:numPr>
          <w:ilvl w:val="0"/>
          <w:numId w:val="2"/>
        </w:numPr>
        <w:spacing w:after="60"/>
      </w:pPr>
      <w:r>
        <w:t>Branch protection on main: required PR reviews, required status checks (fmt/validate/tflint/checkov), CODEOWNERS routes IAM/network/zone paths to Security for mandatory review (implements GOV-PO-04); no direct pushes; secrets scanning enabled.</w:t>
      </w:r>
    </w:p>
    <w:p w14:paraId="03C3B2B7" w14:textId="77777777" w:rsidR="002B59C7" w:rsidRDefault="00475B93">
      <w:pPr>
        <w:pStyle w:val="Heading3"/>
        <w:spacing w:before="170" w:after="90"/>
      </w:pPr>
      <w:r>
        <w:rPr>
          <w:b/>
          <w:bCs/>
          <w:color w:val="6B6560"/>
          <w:sz w:val="22"/>
          <w:szCs w:val="22"/>
        </w:rPr>
        <w:t>11.2 Pipelines (Azure DevOps)</w:t>
      </w:r>
    </w:p>
    <w:p w14:paraId="05ABB9B3" w14:textId="77777777" w:rsidR="002B59C7" w:rsidRDefault="00475B93">
      <w:pPr>
        <w:pStyle w:val="ListParagraph"/>
        <w:numPr>
          <w:ilvl w:val="0"/>
          <w:numId w:val="3"/>
        </w:numPr>
        <w:spacing w:after="70"/>
      </w:pPr>
      <w:r>
        <w:t>ADO project 'OCI-Platform'; GitHub connected via the Azure Pipelines GitHub App (service connection) — pipelines trigger on PR and merge events in GitHub.</w:t>
      </w:r>
    </w:p>
    <w:p w14:paraId="27FFC9BE" w14:textId="77777777" w:rsidR="002B59C7" w:rsidRDefault="00475B93">
      <w:pPr>
        <w:pStyle w:val="ListParagraph"/>
        <w:numPr>
          <w:ilvl w:val="0"/>
          <w:numId w:val="3"/>
        </w:numPr>
        <w:spacing w:after="70"/>
      </w:pPr>
      <w:r>
        <w:t>Each repo carries azure-pipelines.yml extending shared templates from cloud-core: stages = validate (fmt/lint/scan) → plan (publish plan artifact to the PR) → apply-DEV (auto on merge) → apply-TST (ADO Environment 'TST' approval: platform lead) → apply-PRD (ADO Environment 'PRD' approval: CAB — implements change-workflow step 6).</w:t>
      </w:r>
    </w:p>
    <w:p w14:paraId="1AEB3CF7" w14:textId="77777777" w:rsidR="002B59C7" w:rsidRDefault="00475B93">
      <w:pPr>
        <w:pStyle w:val="ListParagraph"/>
        <w:numPr>
          <w:ilvl w:val="0"/>
          <w:numId w:val="3"/>
        </w:numPr>
        <w:spacing w:after="70"/>
      </w:pPr>
      <w:r>
        <w:t>Agent strategy — the zero-stored-keys rule: SELF-HOSTED ADO agent pool on OCI compute in Shared-Services:Shared-Tools, authenticating to OCI via instance principals (dynamic group DG-ADO-AGENTS → policy-scoped) — no OCI API keys exist anywhere in ADO. Agents are patched by OS Management Hub and scanned by VSS (§8.2). Microsoft-hosted agents are the fallback for non-OCI jobs only.</w:t>
      </w:r>
    </w:p>
    <w:p w14:paraId="4D8E9962" w14:textId="77777777" w:rsidR="002B59C7" w:rsidRDefault="00475B93">
      <w:pPr>
        <w:pStyle w:val="ListParagraph"/>
        <w:numPr>
          <w:ilvl w:val="0"/>
          <w:numId w:val="3"/>
        </w:numPr>
        <w:spacing w:after="70"/>
      </w:pPr>
      <w:r>
        <w:t>Secrets: pipeline-consumed secrets resolve at runtime from OCI Vault via the agent's instance principal; ADO Library holds no long-lived cloud credentials; OIC deploys use the OAuth client (SEC-DEVOPS-{ENV}-OICDEPLOY) fetched from Vault.</w:t>
      </w:r>
    </w:p>
    <w:p w14:paraId="729F33A4" w14:textId="77777777" w:rsidR="002B59C7" w:rsidRDefault="00475B93">
      <w:pPr>
        <w:pStyle w:val="ListParagraph"/>
        <w:numPr>
          <w:ilvl w:val="0"/>
          <w:numId w:val="3"/>
        </w:numPr>
        <w:spacing w:after="70"/>
      </w:pPr>
      <w:r>
        <w:t>Non-Terraform artifacts ride the same pipelines: OIC design-time import with config-plan substitution per environment; VBS build + deploy; both gated identically (DEV auto → TST approval → PRD CAB).</w:t>
      </w:r>
    </w:p>
    <w:p w14:paraId="608D221F" w14:textId="77777777" w:rsidR="002B59C7" w:rsidRDefault="00475B93">
      <w:pPr>
        <w:pStyle w:val="ListParagraph"/>
        <w:numPr>
          <w:ilvl w:val="0"/>
          <w:numId w:val="3"/>
        </w:numPr>
        <w:spacing w:after="70"/>
      </w:pPr>
      <w:r>
        <w:t>Drift job: scheduled ADO pipeline runs terraform plan nightly per env; any diff raises a work item + alarm — unreconciled &gt; 48h breaches GOV-CH-01 and appears in the governance KPI pack.</w:t>
      </w:r>
    </w:p>
    <w:p w14:paraId="2162EFBB" w14:textId="77777777" w:rsidR="002B59C7" w:rsidRDefault="00475B93">
      <w:pPr>
        <w:pStyle w:val="ListParagraph"/>
        <w:numPr>
          <w:ilvl w:val="0"/>
          <w:numId w:val="2"/>
        </w:numPr>
        <w:spacing w:after="60"/>
      </w:pPr>
      <w:r>
        <w:t>Migration note: earlier volumes referenced 'GitHub/ADO or OCI DevOps' — this section is now authoritative: GitHub repos + ADO pipelines. OCI DevOps is not used; Vol. 5 §10 is superseded accordingly.</w:t>
      </w:r>
    </w:p>
    <w:p w14:paraId="6B93A50F" w14:textId="77777777" w:rsidR="002B59C7" w:rsidRDefault="00475B93">
      <w:r>
        <w:br w:type="page"/>
      </w:r>
    </w:p>
    <w:p w14:paraId="1A301F45" w14:textId="77777777" w:rsidR="002B59C7" w:rsidRDefault="00475B93">
      <w:pPr>
        <w:pStyle w:val="Heading1"/>
        <w:spacing w:before="300" w:after="150"/>
      </w:pPr>
      <w:r>
        <w:rPr>
          <w:b/>
          <w:bCs/>
          <w:color w:val="C74634"/>
          <w:sz w:val="30"/>
          <w:szCs w:val="30"/>
        </w:rPr>
        <w:t>12. Disaster Recovery — Full Stack DR and Manual DR</w:t>
      </w:r>
    </w:p>
    <w:p w14:paraId="432C666B" w14:textId="77777777" w:rsidR="002B59C7" w:rsidRDefault="00475B93">
      <w:pPr>
        <w:pStyle w:val="Heading3"/>
        <w:spacing w:before="170" w:after="90"/>
      </w:pPr>
      <w:r>
        <w:rPr>
          <w:b/>
          <w:bCs/>
          <w:color w:val="6B6560"/>
          <w:sz w:val="22"/>
          <w:szCs w:val="22"/>
        </w:rPr>
        <w:t>12.1 Option 1 — OCI Full Stack DR (service-orchestrated, warm standby)</w:t>
      </w:r>
    </w:p>
    <w:p w14:paraId="1961F43C" w14:textId="77777777" w:rsidR="002B59C7" w:rsidRDefault="00475B93">
      <w:pPr>
        <w:spacing w:before="40" w:after="120"/>
        <w:jc w:val="center"/>
      </w:pPr>
      <w:r>
        <w:rPr>
          <w:noProof/>
        </w:rPr>
        <w:drawing>
          <wp:inline distT="0" distB="0" distL="0" distR="0" wp14:anchorId="12E8342D" wp14:editId="7126645B">
            <wp:extent cx="8382000" cy="5600700"/>
            <wp:effectExtent l="0" t="0" r="0" b="0"/>
            <wp:docPr id="1742160327" name="Picture 1742160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0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361B6" w14:textId="77777777" w:rsidR="002B59C7" w:rsidRDefault="00475B93">
      <w:pPr>
        <w:pStyle w:val="Heading3"/>
        <w:spacing w:before="170" w:after="90"/>
      </w:pPr>
      <w:r>
        <w:rPr>
          <w:b/>
          <w:bCs/>
          <w:color w:val="6B6560"/>
          <w:sz w:val="22"/>
          <w:szCs w:val="22"/>
        </w:rPr>
        <w:t>12.2 Option 2 — Manual / IaC-driven DR (backup-and-rebuild, cold standby)</w:t>
      </w:r>
    </w:p>
    <w:p w14:paraId="77285AA1" w14:textId="77777777" w:rsidR="002B59C7" w:rsidRDefault="00475B93">
      <w:pPr>
        <w:spacing w:before="40" w:after="120"/>
        <w:jc w:val="center"/>
      </w:pPr>
      <w:r>
        <w:rPr>
          <w:noProof/>
        </w:rPr>
        <w:drawing>
          <wp:inline distT="0" distB="0" distL="0" distR="0" wp14:anchorId="68E4F83C" wp14:editId="3313F555">
            <wp:extent cx="8382000" cy="5248275"/>
            <wp:effectExtent l="0" t="0" r="0" b="0"/>
            <wp:docPr id="193746052" name="Picture 193746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9D8AF" w14:textId="77777777" w:rsidR="002B59C7" w:rsidRDefault="00475B93">
      <w:pPr>
        <w:pStyle w:val="Heading3"/>
        <w:spacing w:before="170" w:after="90"/>
      </w:pPr>
      <w:r>
        <w:rPr>
          <w:b/>
          <w:bCs/>
          <w:color w:val="6B6560"/>
          <w:sz w:val="22"/>
          <w:szCs w:val="22"/>
        </w:rPr>
        <w:t>12.3 Summary and recommendation</w:t>
      </w:r>
    </w:p>
    <w:tbl>
      <w:tblPr>
        <w:tblW w:w="9360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600"/>
        <w:gridCol w:w="3560"/>
      </w:tblGrid>
      <w:tr w:rsidR="002B59C7" w14:paraId="7473E5A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A6A97B3" w14:textId="77777777" w:rsidR="002B59C7" w:rsidRDefault="00475B93"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Dimension</w:t>
            </w:r>
          </w:p>
        </w:tc>
        <w:tc>
          <w:tcPr>
            <w:tcW w:w="36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64A9DF8" w14:textId="77777777" w:rsidR="002B59C7" w:rsidRDefault="00475B93"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Option 1 — Full Stack DR</w:t>
            </w:r>
          </w:p>
        </w:tc>
        <w:tc>
          <w:tcPr>
            <w:tcW w:w="35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579B1B51" w14:textId="77777777" w:rsidR="002B59C7" w:rsidRDefault="00475B93">
            <w:pPr>
              <w:spacing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Option 2 — Manual / IaC</w:t>
            </w:r>
          </w:p>
        </w:tc>
      </w:tr>
      <w:tr w:rsidR="002B59C7" w14:paraId="09D10A3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1D3E9289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RTO / RPO</w:t>
            </w:r>
          </w:p>
        </w:tc>
        <w:tc>
          <w:tcPr>
            <w:tcW w:w="36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4885B47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≈1–2h / near-zero (ATP via Autonomous Data Guard)</w:t>
            </w:r>
          </w:p>
        </w:tc>
        <w:tc>
          <w:tcPr>
            <w:tcW w:w="35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E226D89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≈6–8h / ≤24h (cross-region backup based)</w:t>
            </w:r>
          </w:p>
        </w:tc>
      </w:tr>
      <w:tr w:rsidR="002B59C7" w14:paraId="6040F916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380E985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Steady-state cost</w:t>
            </w:r>
          </w:p>
        </w:tc>
        <w:tc>
          <w:tcPr>
            <w:tcW w:w="36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738B667C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ADG peer + optional pilot-light OIC + replicated storage + FSDR member charges</w:t>
            </w:r>
          </w:p>
        </w:tc>
        <w:tc>
          <w:tcPr>
            <w:tcW w:w="35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45E794B7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Storage only</w:t>
            </w:r>
          </w:p>
        </w:tc>
      </w:tr>
      <w:tr w:rsidR="002B59C7" w14:paraId="0F533AC7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37A09B35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Execution</w:t>
            </w:r>
          </w:p>
        </w:tc>
        <w:tc>
          <w:tcPr>
            <w:tcW w:w="36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276F0E68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Versioned DR plans (switchover/failover/drill) with prechecks; OIC via user-defined steps calling the ADO pipeline</w:t>
            </w:r>
          </w:p>
        </w:tc>
        <w:tc>
          <w:tcPr>
            <w:tcW w:w="35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6A887090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Human-run M1–M9 runbook; Terraform rebuild + restore + repoint</w:t>
            </w:r>
          </w:p>
        </w:tc>
      </w:tr>
      <w:tr w:rsidR="002B59C7" w14:paraId="78B2FC7E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7029E71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Drills</w:t>
            </w:r>
          </w:p>
        </w:tc>
        <w:tc>
          <w:tcPr>
            <w:tcW w:w="36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A8506BB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Quarterly non-disruptive; evidence auto-collected</w:t>
            </w:r>
          </w:p>
        </w:tc>
        <w:tc>
          <w:tcPr>
            <w:tcW w:w="35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2C5FF7D2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Annual full rehearsal minimum</w:t>
            </w:r>
          </w:p>
        </w:tc>
      </w:tr>
      <w:tr w:rsidR="002B59C7" w14:paraId="41EF89B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058D5960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Recommendation</w:t>
            </w:r>
          </w:p>
        </w:tc>
        <w:tc>
          <w:tcPr>
            <w:tcW w:w="36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1AAA650F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Adopt for PRD, phased: shared foundations → ADG (measure cost 1 month) → FSDR + first drill</w:t>
            </w:r>
          </w:p>
        </w:tc>
        <w:tc>
          <w:tcPr>
            <w:tcW w:w="356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50" w:type="dxa"/>
              <w:left w:w="85" w:type="dxa"/>
              <w:bottom w:w="50" w:type="dxa"/>
              <w:right w:w="85" w:type="dxa"/>
            </w:tcMar>
          </w:tcPr>
          <w:p w14:paraId="15F3B83C" w14:textId="77777777" w:rsidR="002B59C7" w:rsidRDefault="00475B93">
            <w:pPr>
              <w:spacing w:after="40"/>
            </w:pPr>
            <w:r>
              <w:rPr>
                <w:sz w:val="18"/>
                <w:szCs w:val="18"/>
              </w:rPr>
              <w:t>The graceful fallback — Option 1 minus ADG/pilot-light/orchestration; nothing wasted either way</w:t>
            </w:r>
          </w:p>
        </w:tc>
      </w:tr>
    </w:tbl>
    <w:p w14:paraId="1D835354" w14:textId="77777777" w:rsidR="002B59C7" w:rsidRDefault="00475B93">
      <w:pPr>
        <w:pStyle w:val="ListParagraph"/>
        <w:numPr>
          <w:ilvl w:val="0"/>
          <w:numId w:val="2"/>
        </w:numPr>
        <w:spacing w:after="60"/>
      </w:pPr>
      <w:r>
        <w:t>Both options share the same foundations (build regardless): Terraform-rebuildable estate, Git-held OIC design-time + DR config plan, replicated TF state, secret inventory, reserved 10.50.0.0/16, verified standby-region service limits. Out of scope for both: Fusion pods (Oracle SaaS DR — file the contractual terms), FDI (re-provision + re-extract), Entra (global). Full detail: Vol. 8.</w:t>
      </w:r>
    </w:p>
    <w:p w14:paraId="52207E2E" w14:textId="77777777" w:rsidR="002B59C7" w:rsidRDefault="00475B93">
      <w:r>
        <w:br w:type="page"/>
      </w:r>
    </w:p>
    <w:p w14:paraId="43957B2F" w14:textId="77777777" w:rsidR="002B59C7" w:rsidRDefault="00475B93">
      <w:pPr>
        <w:pStyle w:val="Heading1"/>
        <w:spacing w:before="300" w:after="150"/>
      </w:pPr>
      <w:r>
        <w:rPr>
          <w:b/>
          <w:bCs/>
          <w:color w:val="C74634"/>
          <w:sz w:val="30"/>
          <w:szCs w:val="30"/>
        </w:rPr>
        <w:t>13. Multi-Cloud Extension (OCI → AWS · Azure · GCP)</w:t>
      </w:r>
    </w:p>
    <w:p w14:paraId="58A3970F" w14:textId="77777777" w:rsidR="002B59C7" w:rsidRDefault="00475B93">
      <w:pPr>
        <w:spacing w:before="40" w:after="120"/>
        <w:jc w:val="center"/>
      </w:pPr>
      <w:r>
        <w:rPr>
          <w:noProof/>
        </w:rPr>
        <w:drawing>
          <wp:inline distT="0" distB="0" distL="0" distR="0" wp14:anchorId="1FB7880F" wp14:editId="5EEB7A8B">
            <wp:extent cx="8382000" cy="5867400"/>
            <wp:effectExtent l="0" t="0" r="0" b="0"/>
            <wp:docPr id="1327551684" name="Picture 1327551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0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70440" w14:textId="77777777" w:rsidR="002B59C7" w:rsidRDefault="00475B93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Principles (MC-01..05): </w:t>
      </w:r>
      <w:r>
        <w:t>extend-never-fork the governance framework (per-cloud Landing Zone Annexes with the same GOV-* IDs); one identity plane (Entra federates AWS Identity Center, GCP Workforce Identity Federation — no cloud-local users); OCI stays the anchor for anything Fusion-adjacent (data gravity over OSN); placement by the §9 decision table of Vol. 9, recorded in the decision log; paved roads only — a cloud opens when its landing zone, tag/policy mapping, SIEM feed, pipeline identity, and CIDR allocation exist.</w:t>
      </w:r>
    </w:p>
    <w:p w14:paraId="379AD102" w14:textId="77777777" w:rsidR="002B59C7" w:rsidRDefault="00475B93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Fabric: </w:t>
      </w:r>
      <w:r>
        <w:t>extended CIDR registry (Azure 10.70/13, AWS 10.80/13, GCP 10.90/13); NaaS hub interconnect (one circuit per cloud, not a peering mesh) + OCI↔Azure native Interconnect; DNS conditional forwarding at the hub; every cross-cloud flow registered before build; inter-cloud egress on the monthly cost review.</w:t>
      </w:r>
    </w:p>
    <w:p w14:paraId="495117B0" w14:textId="77777777" w:rsidR="002B59C7" w:rsidRDefault="00475B93"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Operations: </w:t>
      </w:r>
      <w:r>
        <w:t>Sentinel remains the one SIEM pane (Cloud Guard, Security Hub/GuardDuty, Defender, SCC all feed it); the ADO+GitHub delivery model (§11) extends per cloud with per-provider repos and OIDC/workload-identity federation; CMMC/FCI scope stays in the OCI Regulated compartment until an equivalent enclave is certified elsewhere. Phases P0–P4 and the full parity matrix: Vol. 9.</w:t>
      </w:r>
    </w:p>
    <w:p w14:paraId="47068C3C" w14:textId="77777777" w:rsidR="002B59C7" w:rsidRDefault="002B59C7">
      <w:pPr>
        <w:spacing w:after="60"/>
      </w:pPr>
    </w:p>
    <w:p w14:paraId="613EB6B5" w14:textId="77777777" w:rsidR="002B59C7" w:rsidRDefault="00475B93">
      <w:pPr>
        <w:spacing w:after="140"/>
      </w:pPr>
      <w:r>
        <w:rPr>
          <w:i/>
          <w:iCs/>
          <w:color w:val="6B6560"/>
          <w:sz w:val="19"/>
          <w:szCs w:val="19"/>
        </w:rPr>
        <w:t>Appendix — diagram index: D1 solution context · D2 landing zone · D3 network · D4 identity · D5 integration · D6 migration/ETL · D7 FDI · D8 harmonized tenancy · D9 end-state logical · D10 infrastructure topology · D11 network flows · D12 access flows · D13 Full Stack DR · D14 Manual DR · D15 multi-cloud. All available as editable SVG in the delivered diagram packs.</w:t>
      </w:r>
    </w:p>
    <w:sectPr w:rsidR="002B59C7">
      <w:pgSz w:w="15840" w:h="12240" w:orient="landscape"/>
      <w:pgMar w:top="1000" w:right="1180" w:bottom="1000" w:left="11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834A6"/>
    <w:multiLevelType w:val="hybridMultilevel"/>
    <w:tmpl w:val="24449B26"/>
    <w:lvl w:ilvl="0" w:tplc="A4001026">
      <w:start w:val="1"/>
      <w:numFmt w:val="bullet"/>
      <w:lvlText w:val="●"/>
      <w:lvlJc w:val="left"/>
      <w:pPr>
        <w:ind w:left="720" w:hanging="360"/>
      </w:pPr>
    </w:lvl>
    <w:lvl w:ilvl="1" w:tplc="F08E08F0">
      <w:start w:val="1"/>
      <w:numFmt w:val="bullet"/>
      <w:lvlText w:val="○"/>
      <w:lvlJc w:val="left"/>
      <w:pPr>
        <w:ind w:left="1440" w:hanging="360"/>
      </w:pPr>
    </w:lvl>
    <w:lvl w:ilvl="2" w:tplc="44B4208E">
      <w:start w:val="1"/>
      <w:numFmt w:val="bullet"/>
      <w:lvlText w:val="■"/>
      <w:lvlJc w:val="left"/>
      <w:pPr>
        <w:ind w:left="2160" w:hanging="360"/>
      </w:pPr>
    </w:lvl>
    <w:lvl w:ilvl="3" w:tplc="2B024CB2">
      <w:start w:val="1"/>
      <w:numFmt w:val="bullet"/>
      <w:lvlText w:val="●"/>
      <w:lvlJc w:val="left"/>
      <w:pPr>
        <w:ind w:left="2880" w:hanging="360"/>
      </w:pPr>
    </w:lvl>
    <w:lvl w:ilvl="4" w:tplc="AAFC2B68">
      <w:start w:val="1"/>
      <w:numFmt w:val="bullet"/>
      <w:lvlText w:val="○"/>
      <w:lvlJc w:val="left"/>
      <w:pPr>
        <w:ind w:left="3600" w:hanging="360"/>
      </w:pPr>
    </w:lvl>
    <w:lvl w:ilvl="5" w:tplc="8E9425BC">
      <w:start w:val="1"/>
      <w:numFmt w:val="bullet"/>
      <w:lvlText w:val="■"/>
      <w:lvlJc w:val="left"/>
      <w:pPr>
        <w:ind w:left="4320" w:hanging="360"/>
      </w:pPr>
    </w:lvl>
    <w:lvl w:ilvl="6" w:tplc="1108C6EC">
      <w:start w:val="1"/>
      <w:numFmt w:val="bullet"/>
      <w:lvlText w:val="●"/>
      <w:lvlJc w:val="left"/>
      <w:pPr>
        <w:ind w:left="5040" w:hanging="360"/>
      </w:pPr>
    </w:lvl>
    <w:lvl w:ilvl="7" w:tplc="D8EEE452">
      <w:start w:val="1"/>
      <w:numFmt w:val="bullet"/>
      <w:lvlText w:val="●"/>
      <w:lvlJc w:val="left"/>
      <w:pPr>
        <w:ind w:left="5760" w:hanging="360"/>
      </w:pPr>
    </w:lvl>
    <w:lvl w:ilvl="8" w:tplc="DFBE261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5540493"/>
    <w:multiLevelType w:val="hybridMultilevel"/>
    <w:tmpl w:val="7B9CA5F6"/>
    <w:lvl w:ilvl="0" w:tplc="82D49A12">
      <w:start w:val="1"/>
      <w:numFmt w:val="decimal"/>
      <w:lvlText w:val="%1."/>
      <w:lvlJc w:val="left"/>
      <w:pPr>
        <w:ind w:left="400" w:hanging="260"/>
      </w:pPr>
    </w:lvl>
    <w:lvl w:ilvl="1" w:tplc="11C4008A">
      <w:numFmt w:val="decimal"/>
      <w:lvlText w:val=""/>
      <w:lvlJc w:val="left"/>
    </w:lvl>
    <w:lvl w:ilvl="2" w:tplc="2E40DD08">
      <w:numFmt w:val="decimal"/>
      <w:lvlText w:val=""/>
      <w:lvlJc w:val="left"/>
    </w:lvl>
    <w:lvl w:ilvl="3" w:tplc="2FE244E6">
      <w:numFmt w:val="decimal"/>
      <w:lvlText w:val=""/>
      <w:lvlJc w:val="left"/>
    </w:lvl>
    <w:lvl w:ilvl="4" w:tplc="A400329A">
      <w:numFmt w:val="decimal"/>
      <w:lvlText w:val=""/>
      <w:lvlJc w:val="left"/>
    </w:lvl>
    <w:lvl w:ilvl="5" w:tplc="993C3174">
      <w:numFmt w:val="decimal"/>
      <w:lvlText w:val=""/>
      <w:lvlJc w:val="left"/>
    </w:lvl>
    <w:lvl w:ilvl="6" w:tplc="96F6CAEE">
      <w:numFmt w:val="decimal"/>
      <w:lvlText w:val=""/>
      <w:lvlJc w:val="left"/>
    </w:lvl>
    <w:lvl w:ilvl="7" w:tplc="8C483CD6">
      <w:numFmt w:val="decimal"/>
      <w:lvlText w:val=""/>
      <w:lvlJc w:val="left"/>
    </w:lvl>
    <w:lvl w:ilvl="8" w:tplc="3FD65A56">
      <w:numFmt w:val="decimal"/>
      <w:lvlText w:val=""/>
      <w:lvlJc w:val="left"/>
    </w:lvl>
  </w:abstractNum>
  <w:abstractNum w:abstractNumId="2" w15:restartNumberingAfterBreak="0">
    <w:nsid w:val="67A336BF"/>
    <w:multiLevelType w:val="hybridMultilevel"/>
    <w:tmpl w:val="16EE0E5A"/>
    <w:lvl w:ilvl="0" w:tplc="0AD876E8">
      <w:start w:val="1"/>
      <w:numFmt w:val="bullet"/>
      <w:lvlText w:val="•"/>
      <w:lvlJc w:val="left"/>
      <w:pPr>
        <w:ind w:left="360" w:hanging="200"/>
      </w:pPr>
    </w:lvl>
    <w:lvl w:ilvl="1" w:tplc="4008FC38">
      <w:numFmt w:val="decimal"/>
      <w:lvlText w:val=""/>
      <w:lvlJc w:val="left"/>
    </w:lvl>
    <w:lvl w:ilvl="2" w:tplc="968846A0">
      <w:numFmt w:val="decimal"/>
      <w:lvlText w:val=""/>
      <w:lvlJc w:val="left"/>
    </w:lvl>
    <w:lvl w:ilvl="3" w:tplc="E38632A8">
      <w:numFmt w:val="decimal"/>
      <w:lvlText w:val=""/>
      <w:lvlJc w:val="left"/>
    </w:lvl>
    <w:lvl w:ilvl="4" w:tplc="CFE2B4FE">
      <w:numFmt w:val="decimal"/>
      <w:lvlText w:val=""/>
      <w:lvlJc w:val="left"/>
    </w:lvl>
    <w:lvl w:ilvl="5" w:tplc="096E2BCA">
      <w:numFmt w:val="decimal"/>
      <w:lvlText w:val=""/>
      <w:lvlJc w:val="left"/>
    </w:lvl>
    <w:lvl w:ilvl="6" w:tplc="66900162">
      <w:numFmt w:val="decimal"/>
      <w:lvlText w:val=""/>
      <w:lvlJc w:val="left"/>
    </w:lvl>
    <w:lvl w:ilvl="7" w:tplc="65224030">
      <w:numFmt w:val="decimal"/>
      <w:lvlText w:val=""/>
      <w:lvlJc w:val="left"/>
    </w:lvl>
    <w:lvl w:ilvl="8" w:tplc="F00C9688">
      <w:numFmt w:val="decimal"/>
      <w:lvlText w:val=""/>
      <w:lvlJc w:val="left"/>
    </w:lvl>
  </w:abstractNum>
  <w:num w:numId="1" w16cid:durableId="1841967931">
    <w:abstractNumId w:val="0"/>
    <w:lvlOverride w:ilvl="0">
      <w:startOverride w:val="1"/>
    </w:lvlOverride>
  </w:num>
  <w:num w:numId="2" w16cid:durableId="95911834">
    <w:abstractNumId w:val="2"/>
    <w:lvlOverride w:ilvl="0">
      <w:startOverride w:val="1"/>
    </w:lvlOverride>
  </w:num>
  <w:num w:numId="3" w16cid:durableId="62863086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9C7"/>
    <w:rsid w:val="002B59C7"/>
    <w:rsid w:val="00475B93"/>
    <w:rsid w:val="0051035B"/>
    <w:rsid w:val="00626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1EAE7"/>
  <w15:docId w15:val="{46392533-21B9-4F6D-A378-C0BF37D1B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312D2A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3149</Words>
  <Characters>17951</Characters>
  <Application>Microsoft Office Word</Application>
  <DocSecurity>0</DocSecurity>
  <Lines>149</Lines>
  <Paragraphs>42</Paragraphs>
  <ScaleCrop>false</ScaleCrop>
  <Company/>
  <LinksUpToDate>false</LinksUpToDate>
  <CharactersWithSpaces>21058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Gopinath Soundarrajan</cp:lastModifiedBy>
  <cp:revision>2</cp:revision>
  <dcterms:created xsi:type="dcterms:W3CDTF">2026-08-21T21:56:00Z</dcterms:created>
  <dcterms:modified xsi:type="dcterms:W3CDTF">2026-08-21T21:56:00Z</dcterms:modified>
</cp:coreProperties>
</file>