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50" w:before="1100"/>
      </w:pPr>
      <w:r>
        <w:rPr>
          <w:rFonts w:ascii="Calibri" w:cs="Calibri" w:eastAsia="Calibri" w:hAnsi="Calibri"/>
          <w:b/>
          <w:bCs/>
          <w:color w:val="6B6560"/>
          <w:sz w:val="20"/>
          <w:szCs w:val="20"/>
        </w:rPr>
        <w:t xml:space="preserve">ORACLE CLOUD INFRASTRUCTURE — FUSION ENABLEMENT</w:t>
      </w:r>
    </w:p>
    <w:p>
      <w:pPr>
        <w:spacing w:after="130"/>
      </w:pPr>
      <w:r>
        <w:rPr>
          <w:rFonts w:ascii="Calibri" w:cs="Calibri" w:eastAsia="Calibri" w:hAnsi="Calibri"/>
          <w:b/>
          <w:bCs/>
          <w:color w:val="C74634"/>
          <w:sz w:val="40"/>
          <w:szCs w:val="40"/>
        </w:rPr>
        <w:t xml:space="preserve">Enterprise Architect Playbook</w:t>
      </w:r>
    </w:p>
    <w:p>
      <w:pPr>
        <w:spacing w:after="120"/>
      </w:pPr>
      <w:r>
        <w:rPr>
          <w:rFonts w:ascii="Calibri" w:cs="Calibri" w:eastAsia="Calibri" w:hAnsi="Calibri"/>
          <w:color w:val="312D2A"/>
          <w:sz w:val="24"/>
          <w:szCs w:val="24"/>
        </w:rPr>
        <w:t xml:space="preserve">A reusable, engagement-agnostic playbook for enabling greenfield Oracle Fusion Cloud Applications (ERP, EPM, HCM, CX) with Oracle Integration Cloud (OIC), Autonomous Database (ATP), and Fusion Data Intelligence (FDI) on OCI.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Scope: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Greenfield Oracle Fusion SaaS + OCI PaaS under one tenancy, weighted to the </w:t>
      </w: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OCI Platform / Enterprise Architect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 role, with explicit hand-off boundaries to the Fusion functional/security and data workstreams.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8A6D1D"/>
          <w:sz w:val="21"/>
          <w:szCs w:val="21"/>
        </w:rPr>
        <w:t xml:space="preserve">How to use this template: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This is a generic model. Replace every </w:t>
      </w:r>
      <w:r>
        <w:rPr>
          <w:rFonts w:ascii="Consolas" w:cs="Consolas" w:eastAsia="Consolas" w:hAnsi="Consolas"/>
          <w:color w:val="5A4634"/>
          <w:sz w:val="18"/>
          <w:szCs w:val="18"/>
        </w:rPr>
        <w:t xml:space="preserve">&lt;placeholder&gt;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 with engagement specifics (tenancy name, pod names, partners, legacy system, CostCenter list). Appendix E lists every placeholder to tailor. Sections 3–4 are a reusable governance-review checklist to run against whatever governance a customer has already drafted.</w:t>
      </w:r>
    </w:p>
    <w:p>
      <w:pPr>
        <w:spacing w:after="300"/>
      </w:pPr>
      <w:r>
        <w:rPr>
          <w:rFonts w:ascii="Calibri" w:cs="Calibri" w:eastAsia="Calibri" w:hAnsi="Calibri"/>
          <w:i/>
          <w:iCs/>
          <w:color w:val="6B6560"/>
          <w:sz w:val="20"/>
          <w:szCs w:val="20"/>
        </w:rPr>
        <w:t xml:space="preserve">Prepared by: OCI Platform / Enterprise Architect  |  v1.0 (generic template)  |  Classification: template — mark per engagement</w:t>
      </w:r>
    </w:p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Contents at a Glance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1. Executive summary and how to use this playbook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2. The two control planes — what you are actually governing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3. Governance foundations to establish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4. Common governance gaps and corrections (review checklist)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5. Phase roadmap overview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6. Day 0 — before you touch anything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7. DISCOVER (weeks 1–3)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8. PLAN (weeks 2–6)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9. ASSESS (weeks 4–7)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10. BUILD (weeks 6–20+, in waves)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11. MANAGE (steady-state operating model)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12. OPTIMIZE (continuous)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13. First 30 / 60 / 90 days as OCI Platform Lead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14. Decision gates and open questions register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Appendix A — Target compartment tree (template)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Appendix B — IAM policy statements (valid OCI syntax)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Appendix C — Governance tag schema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Appendix D — RACI skeleton</w:t>
      </w:r>
    </w:p>
    <w:p>
      <w:pPr>
        <w:spacing w:after="46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Appendix E — Tailoring checklist (placeholders to fill)</w:t>
      </w:r>
    </w:p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1. Executive Summary and How to Use This Playbook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This playbook enables a greenfield Oracle Cloud program: the customer has procured Oracle Fusion Cloud Applications (ERP, EPM, HCM, CX) as SaaS, plus OCI infrastructure services — Oracle Integration Cloud (OIC), Autonomous Database (ATP), and Fusion Data Intelligence (FDI) — under a single Oracle Cloud tenancy. The common greenfield pattern assumed here is that an incumbent non-Oracle ERP is retired at Fusion go-live and only master data (plus opening balances) migrates — no transactional history — which greatly simplifies the data workstream and removes the need for a permanent coexistence architecture. Where a legacy system must coexist, treat that as an added workstream and adjust the migration and integration sections accordingly.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The playbook does two things. First, it gives a reusable method to validate and correct whatever OCI governance the customer has drafted (compartments, IAM, tags, Cloud Guard / Security Zones) against Oracle best practice for a combined Fusion + OCI tenancy. Second, it lays out a sequenced path from Day 0 through Discover, Plan, Assess, Build, Manage, and Optimize — weighted to the OCI Platform Lead role, with clear hand-off boundaries to the Fusion functional/security and data workstreams.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The five things to internalize on Day 0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Fusion SaaS is not inside your VCNs.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The Fusion pods are Oracle-managed and reached over the Oracle Services Network (OSN). Your VCNs, subnets, and network policies govern OIC, ATP, FDI access paths, and partner-built apps only. The SaaS compartments hold service handles/subscriptions, not infrastructure.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There are two governance planes.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OCI IAM never controls who can see a Fusion invoice, worker record, or opportunity. Fusion application security (job/duty/data roles, security profiles, data access sets, SoD) is a separate plane with a separate owner. Your job is the OCI plane plus the identity bridge between the two.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HCM is the identity source of record.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The worker model in HCM feeds downstream user provisioning across all pillars. Identity/SSO architecture (corporate IdP federation → OCI Identity Domains → Fusion) is a critical-path platform deliverable that you co-own.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Master-data quality is the critical path.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With no transactional migration, the data workstream is compact but unforgiving: chart of accounts, suppliers, customers, items, workers, and opening balances must be right. Plan 2–3 mock conversion cycles. Your platform provides the machinery (OIC, ATP staging, object storage, FBDI/HDL pipelines).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Governance must be live before builders arrive.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Partners and internal teams will build integration-layer components in the tenancy. Compartments, groups, policies, tags, budgets, logging, and Cloud Guard must be operational before Dev access is granted — retrofitting governance is 10x harder.</w:t>
      </w:r>
    </w:p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2. The Two Control Planes — What You Are Actually Governing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Everything sits in one tenancy, but it splits into two fundamentally different planes. Confusing them is the single most common failure mode in Fusion + OCI programs.</w:t>
      </w:r>
    </w:p>
    <w:tbl>
      <w:tblPr>
        <w:tblW w:type="dxa" w:w="9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0"/>
        <w:gridCol w:w="3900"/>
        <w:gridCol w:w="3900"/>
      </w:tblGrid>
      <w:tr>
        <w:trPr>
          <w:tblHeader/>
        </w:trPr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Dimension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Plane 1 — OCI (customer-managed)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Plane 2 — Fusion SaaS (Oracle-managed)</w:t>
            </w:r>
          </w:p>
        </w:tc>
      </w:tr>
      <w:tr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What lives here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OIC instances, ATP database(s), FDI (OAC + its managed ADW), VCNs/subnets/gateways, object storage, API Gateway, Vault/KMS, partner-built apps, logging/monitoring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Fusion pods per pillar and environment: ERP, EPM, HCM, CX (e.g., fa-&lt;realm&gt;-&lt;pod&gt; for prod / dev / test)</w:t>
            </w:r>
          </w:p>
        </w:tc>
      </w:tr>
      <w:tr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Access control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OCI IAM: identity domains, groups, compartments, policies, tags, Security Zones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Fusion security: job/duty/abstract/data roles, security profiles, data access sets, GL segment-value security, SoD</w:t>
            </w:r>
          </w:p>
        </w:tc>
      </w:tr>
      <w:tr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Network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Your VCNs; private endpoints; Service Gateway to OSN; DRG/VPN/FastConnect if hybrid connectivity is needed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No customer VCN presence. Reached over OSN / public endpoints with allow-listing; integrations call REST/SOAP over TLS</w:t>
            </w:r>
          </w:p>
        </w:tc>
      </w:tr>
      <w:tr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Patching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You schedule ATP maintenance; OIC patched by Oracle in defined windows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Oracle quarterly updates (e.g., 25C/25D/26A) — you plan regression testing, not the patch itself</w:t>
            </w:r>
          </w:p>
        </w:tc>
      </w:tr>
      <w:tr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Owner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OCI Platform Lead + network/security teams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Fusion functional/security team + SI partner; you own the identity bridge and integration touchpoints</w:t>
            </w:r>
          </w:p>
        </w:tc>
      </w:tr>
      <w:tr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Governance artifact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OCI governance model / rule sets (reviewed per §3–4)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Role design workbook, SoD matrix, access certification — a separate workstream</w:t>
            </w:r>
          </w:p>
        </w:tc>
      </w:tr>
    </w:tbl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Where the procured PaaS actually sits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OIC — the integration backbone.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Connects to Fusion over OSN (REST/SOAP adapters), not VCN peering. Runs FBDI/HDL orchestration for data loads, real-time integrations for partners, and hosts the File Server. Governed by an OIC standards annex (see G9).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ATP — customer-managed autonomous database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with a private endpoint in an App-Processing subnet. Legitimate uses: OIC staging/persistence, custom app data, cross-reference/lookup stores, FDI data-transform augmentation targets. It never backs Fusion — the Fusion database is Oracle-managed and invisible to you.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FDI — Fusion Data Intelligence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= OAC plus an Oracle-managed ADW provisioned into the tenancy with prebuilt ERP/HCM/CX analytics pipelines. FDI's ADW is a different database from your procured ATP (different owner, lifecycle, patching). Give FDI its own Analytics compartment.</w:t>
      </w:r>
    </w:p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3. Governance Foundations to Establish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These are the patterns a well-run Fusion + OCI tenancy should adopt (and that you should preserve and formalize where a customer has already drafted them, rather than re-litigate):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Environment-first compartmentalization.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Applications/{Dev1, Dev2, Test, Prod} aligned to Fusion environments — not one compartment per application — is the correct optimization for isolation, IAM control, standardization, and cost observability.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Vendor separation with delegated control.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Per-partner sub-compartments (Partner A / Partner B / Internal → Fusion-Integrations) with 'manage all-resources in their own compartment' plus scoped 'use' grants for network/LB/object storage. Vendor A cannot see Vendor B.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Centralized networking in Shared-Services.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One VCN per environment owned by grp-network-ops, consumed cross-compartment via scoped 'use subnets where target.vcn.name=…' policies. Prevents drift and duplication.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Least-privilege group model.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grp-network-ops, grp-app-devs, grp-app-admins, grp-db-admins, grp-security, grp-cost-audit, grp-analytics, breakglass and read-only-global elevation groups; zero direct user grants; no workloads in root.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Tag-driven governance.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A Governance tag namespace (Owner, CostCenter, Environment, Application, DataClassification, Partner, WorkloadType, Lifecycle), tag defaults per compartment, tag-driven Cloud Guard detections and Security Zones.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Graduated security stance.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Cloud Guard auto-remediate in Dev, alert+selective in Test, alert+escalate in Prod; Security Zones on Applications:Prod, Analytics, and Vault/KMS; secrets/KMS centralized in Shared-Services.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Infrastructure-as-code from day one.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The landing zone is Terraform; hand-built consoles do not survive four environments and a restructure. Use Oracle's CIS-aligned landing-zone modules as accelerators, adapted to the approved blueprint.</w:t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4. Common Governance Gaps and Corrections (Review Checklist)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Run this checklist against the customer's drafted governance. These fourteen gaps recur across greenfield Fusion + OCI programs; 'Owner' indicates who should close each — several deliberately fall outside the OCI platform scope and must be assigned, not absorbed.</w:t>
      </w:r>
    </w:p>
    <w:tbl>
      <w:tblPr>
        <w:tblW w:type="dxa" w:w="9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2350"/>
        <w:gridCol w:w="5100"/>
        <w:gridCol w:w="1240"/>
      </w:tblGrid>
      <w:tr>
        <w:trPr>
          <w:tblHeader/>
        </w:trP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2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Common gap</w:t>
            </w:r>
          </w:p>
        </w:tc>
        <w:tc>
          <w:tcPr>
            <w:tcW w:type="dxa" w:w="5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Correction</w:t>
            </w:r>
          </w:p>
        </w:tc>
        <w:tc>
          <w:tcPr>
            <w:tcW w:type="dxa" w:w="124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Priority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G1</w:t>
            </w:r>
          </w:p>
        </w:tc>
        <w:tc>
          <w:tcPr>
            <w:tcW w:type="dxa" w:w="2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IAM policy uses 'Deny' — which does not exist. Drafts write 'Deny group … to manage …'. OCI IAM is default-deny and additive; such rules do not compile and the implied protection does not exist.</w:t>
            </w:r>
          </w:p>
        </w:tc>
        <w:tc>
          <w:tcPr>
            <w:tcW w:type="dxa" w:w="5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Re-express every 'deny' as absence-of-allow plus guardrails: scope allows narrowly, use policy conditions (e.g., where target.compartment.name != 'Prod'), and enforce hard guardrails with Security Zones. See Appendix B.</w:t>
            </w:r>
          </w:p>
        </w:tc>
        <w:tc>
          <w:tcPr>
            <w:tcW w:type="dxa" w:w="124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Critical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G2</w:t>
            </w:r>
          </w:p>
        </w:tc>
        <w:tc>
          <w:tcPr>
            <w:tcW w:type="dxa" w:w="2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Fusion application-security plane omitted. Most real access risk (who can pay an invoice, see salaries, change a supplier bank account) lives in Fusion RBAC, which OCI never touches.</w:t>
            </w:r>
          </w:p>
        </w:tc>
        <w:tc>
          <w:tcPr>
            <w:tcW w:type="dxa" w:w="5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Stand up a separate Fusion Security workstream: role design (job/duty/data/abstract), security profiles, data access sets + GL segment-value security, SoD rules and periodic access certification. Owner: functional security team.</w:t>
            </w:r>
          </w:p>
        </w:tc>
        <w:tc>
          <w:tcPr>
            <w:tcW w:type="dxa" w:w="124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Critical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G3</w:t>
            </w:r>
          </w:p>
        </w:tc>
        <w:tc>
          <w:tcPr>
            <w:tcW w:type="dxa" w:w="2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Identity architecture undefined. Domains named but no target topology, no federation design, no join between HCM (worker source) and account provisioning.</w:t>
            </w:r>
          </w:p>
        </w:tc>
        <w:tc>
          <w:tcPr>
            <w:tcW w:type="dxa" w:w="5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Design identity domains early: default domain for OCI platform admins only; workforce federation to corporate IdP (SAML/OIDC) for one SSO across Fusion, FDI/OAC, OIC, and Console; SCIM/HDL provisioning from HCM; MFA everywhere; 2 breakglass accounts excluded from federation, vaulted, and alarmed.</w:t>
            </w:r>
          </w:p>
        </w:tc>
        <w:tc>
          <w:tcPr>
            <w:tcW w:type="dxa" w:w="124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Critical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G4</w:t>
            </w:r>
          </w:p>
        </w:tc>
        <w:tc>
          <w:tcPr>
            <w:tcW w:type="dxa" w:w="2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SaaS scope incomplete. Compartment tree lists only some pillars; entitlement (Prod + Test + Dev1–n per pillar) not fully recorded.</w:t>
            </w:r>
          </w:p>
        </w:tc>
        <w:tc>
          <w:tcPr>
            <w:tcW w:type="dxa" w:w="5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Extend SaaS handles to all procured pillars (ERP, EPM, HCM, CX); record every pod (URL, release, purpose, refresh source) in an environment register. Confirm licensed CX pillars and whether Payroll is in HCM scope (both are decision gates, §14).</w:t>
            </w:r>
          </w:p>
        </w:tc>
        <w:tc>
          <w:tcPr>
            <w:tcW w:type="dxa" w:w="124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High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G5</w:t>
            </w:r>
          </w:p>
        </w:tc>
        <w:tc>
          <w:tcPr>
            <w:tcW w:type="dxa" w:w="2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FDI placement/identity unresolved. FDI treated as an ERP sub-resource; it is OAC + an Oracle-managed ADW with its own lifecycle.</w:t>
            </w:r>
          </w:p>
        </w:tc>
        <w:tc>
          <w:tcPr>
            <w:tcW w:type="dxa" w:w="5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Create a top-level Analytics compartment for FDI. Provision Prod first; add non-prod later. Keep FDI's ADW distinct from the procured ATP. Map FDI data security to Fusion roles; plan ERP/HCM/CX subject areas.</w:t>
            </w:r>
          </w:p>
        </w:tc>
        <w:tc>
          <w:tcPr>
            <w:tcW w:type="dxa" w:w="124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High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G6</w:t>
            </w:r>
          </w:p>
        </w:tc>
        <w:tc>
          <w:tcPr>
            <w:tcW w:type="dxa" w:w="2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ATP role confusion risk. A 'Databases' node exists but its purpose is unstated — inviting scope creep ('put Fusion data in it').</w:t>
            </w:r>
          </w:p>
        </w:tc>
        <w:tc>
          <w:tcPr>
            <w:tcW w:type="dxa" w:w="5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Charter ATP explicitly: OIC staging, custom/partner app persistence, integration cross-reference data. Private endpoint only. Never a Fusion backing store; no bulk replication of Fusion transactional data outside FDI.</w:t>
            </w:r>
          </w:p>
        </w:tc>
        <w:tc>
          <w:tcPr>
            <w:tcW w:type="dxa" w:w="124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High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G7</w:t>
            </w:r>
          </w:p>
        </w:tc>
        <w:tc>
          <w:tcPr>
            <w:tcW w:type="dxa" w:w="2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Unsafe tag policy. 'Allow any-user to create instance … where request.resource.tag…' grants creation rights to every principal if tags are present — the opposite of least privilege.</w:t>
            </w:r>
          </w:p>
        </w:tc>
        <w:tc>
          <w:tcPr>
            <w:tcW w:type="dxa" w:w="5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Delete the any-user rule. Enforce tagging via tag defaults (required, per-compartment) plus group-scoped conditional allows, and Cloud Guard detections for missing/incorrect tags. Add CostCenter and Partner as required defaults.</w:t>
            </w:r>
          </w:p>
        </w:tc>
        <w:tc>
          <w:tcPr>
            <w:tcW w:type="dxa" w:w="124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High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G8</w:t>
            </w:r>
          </w:p>
        </w:tc>
        <w:tc>
          <w:tcPr>
            <w:tcW w:type="dxa" w:w="2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Security Zone coverage too narrow. Applied only to Applications:Prod, leaving FDI's ADW (replicated sensitive data) and Vault/KMS (crown jewels) unprotected.</w:t>
            </w:r>
          </w:p>
        </w:tc>
        <w:tc>
          <w:tcPr>
            <w:tcW w:type="dxa" w:w="5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Extend Security Zones (or custom recipes) to the Analytics and Vault/KMS compartments. Keep the graduated stance elsewhere.</w:t>
            </w:r>
          </w:p>
        </w:tc>
        <w:tc>
          <w:tcPr>
            <w:tcW w:type="dxa" w:w="124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Medium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G9</w:t>
            </w:r>
          </w:p>
        </w:tc>
        <w:tc>
          <w:tcPr>
            <w:tcW w:type="dxa" w:w="2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OIC-internal governance missing. Governance stops at the compartment; OIC is itself a multi-tenant workspace needing standards (File Server security, folder structure, env promotion, MFT).</w:t>
            </w:r>
          </w:p>
        </w:tc>
        <w:tc>
          <w:tcPr>
            <w:tcW w:type="dxa" w:w="5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Adopt an OIC governance annex: project/connection naming, role model per env (ServiceDeveloper in Dev, ServiceDeployer promotion in Test/Prod), CI/CD via OIC APIs, File Server folder + user/group standards before higher environments, error-handling/logging patterns.</w:t>
            </w:r>
          </w:p>
        </w:tc>
        <w:tc>
          <w:tcPr>
            <w:tcW w:type="dxa" w:w="124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Medium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G10</w:t>
            </w:r>
          </w:p>
        </w:tc>
        <w:tc>
          <w:tcPr>
            <w:tcW w:type="dxa" w:w="2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Network model vs reality. VCN-per-environment designed as if apps live there, but Fusion is OSN-reached; nothing yet on Service Gateway, NAT, private endpoints, DNS, or egress control.</w:t>
            </w:r>
          </w:p>
        </w:tc>
        <w:tc>
          <w:tcPr>
            <w:tcW w:type="dxa" w:w="5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Per VCN: Service Gateway (all OSN services), NAT for controlled egress, no internet gateway in Prod, private endpoints for ATP/OIC where supported, NSGs per tier, DNS zones, explicit allow-listed egress. Document that Fusion traffic transits OSN, not peering.</w:t>
            </w:r>
          </w:p>
        </w:tc>
        <w:tc>
          <w:tcPr>
            <w:tcW w:type="dxa" w:w="124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Medium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G11</w:t>
            </w:r>
          </w:p>
        </w:tc>
        <w:tc>
          <w:tcPr>
            <w:tcW w:type="dxa" w:w="2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Residual root/legacy debris. Workspace/DIS policies at root; transitional compartments coexist with the target tree.</w:t>
            </w:r>
          </w:p>
        </w:tc>
        <w:tc>
          <w:tcPr>
            <w:tcW w:type="dxa" w:w="5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Fold into Assess-phase remediation: re-home policies to owning compartments, execute the move plan (export → inventory → create target → baseline policies → dry-run → move one → validate), and retire transitional compartments.</w:t>
            </w:r>
          </w:p>
        </w:tc>
        <w:tc>
          <w:tcPr>
            <w:tcW w:type="dxa" w:w="124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Medium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G12</w:t>
            </w:r>
          </w:p>
        </w:tc>
        <w:tc>
          <w:tcPr>
            <w:tcW w:type="dxa" w:w="2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No budgets, quotas, or cost guardrails. A cost-audit group may exist but nothing defines budgets, alert thresholds, or compartment quotas.</w:t>
            </w:r>
          </w:p>
        </w:tc>
        <w:tc>
          <w:tcPr>
            <w:tcW w:type="dxa" w:w="5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Budgets per top-level compartment with 70/90/100% alerts; compartment quotas to zero-out expensive shapes in Dev/Sandbox; scheduled cost reports keyed to CostCenter/Partner tags.</w:t>
            </w:r>
          </w:p>
        </w:tc>
        <w:tc>
          <w:tcPr>
            <w:tcW w:type="dxa" w:w="124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Medium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G13</w:t>
            </w:r>
          </w:p>
        </w:tc>
        <w:tc>
          <w:tcPr>
            <w:tcW w:type="dxa" w:w="2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Logging/audit retention undefined. A governance compartment 'serves audit/logging' but no retention, sink, or SIEM decision is recorded.</w:t>
            </w:r>
          </w:p>
        </w:tc>
        <w:tc>
          <w:tcPr>
            <w:tcW w:type="dxa" w:w="5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Set audit retention to maximum; create Logging/Log Analytics sinks in Governance; service + flow logs on all VCN subnets; decide SIEM export (streaming to the customer SOC) during Plan.</w:t>
            </w:r>
          </w:p>
        </w:tc>
        <w:tc>
          <w:tcPr>
            <w:tcW w:type="dxa" w:w="124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Medium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G14</w:t>
            </w:r>
          </w:p>
        </w:tc>
        <w:tc>
          <w:tcPr>
            <w:tcW w:type="dxa" w:w="2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Environment refresh &amp; release management absent. Nothing governs Fusion P2T refreshes, quarterly-update regression windows, or how OIC/FDI/ATP track a refreshed pod.</w:t>
            </w:r>
          </w:p>
        </w:tc>
        <w:tc>
          <w:tcPr>
            <w:tcW w:type="dxa" w:w="5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Publish an environment &amp; release calendar: quarterly Fusion updates per pod, P2T refresh schedule, post-refresh integration re-pointing runbook (endpoints, credentials, FDI re-baseline), and code-freeze windows around cutover.</w:t>
            </w:r>
          </w:p>
        </w:tc>
        <w:tc>
          <w:tcPr>
            <w:tcW w:type="dxa" w:w="124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High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Bottom line: </w:t>
      </w:r>
      <w:r>
        <w:rPr>
          <w:rFonts w:ascii="Calibri" w:cs="Calibri" w:eastAsia="Calibri" w:hAnsi="Calibri"/>
          <w:color w:val="312D2A"/>
          <w:sz w:val="20"/>
          <w:szCs w:val="20"/>
        </w:rPr>
        <w:t xml:space="preserve">adopt an environment-first compartment model with four common amendments — add an Analytics compartment (G5), extend SaaS to all pillars (G4), extend Security Zones (G8), and rewrite all pseudo-deny rules (G1) — then bolt on the three governance layers most often missing: identity (G3), Fusion security (G2), and OIC-internal standards (G9).</w:t>
      </w:r>
    </w:p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5. Phase Roadmap Overview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Phases overlap deliberately; durations assume a 9–12 month program to first go-live. FDI non-prod, full EPM build-out, and MFT/SFTP replacement typically land post-go-live.</w:t>
      </w:r>
    </w:p>
    <w:tbl>
      <w:tblPr>
        <w:tblW w:type="dxa" w:w="100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50"/>
        <w:gridCol w:w="1550"/>
        <w:gridCol w:w="4250"/>
        <w:gridCol w:w="3000"/>
      </w:tblGrid>
      <w:tr>
        <w:trPr>
          <w:tblHeader/>
        </w:trPr>
        <w:tc>
          <w:tcPr>
            <w:tcW w:type="dxa" w:w="1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Phase</w:t>
            </w:r>
          </w:p>
        </w:tc>
        <w:tc>
          <w:tcPr>
            <w:tcW w:type="dxa" w:w="1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Indicative timing</w:t>
            </w:r>
          </w:p>
        </w:tc>
        <w:tc>
          <w:tcPr>
            <w:tcW w:type="dxa" w:w="4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Platform-lead focus</w:t>
            </w:r>
          </w:p>
        </w:tc>
        <w:tc>
          <w:tcPr>
            <w:tcW w:type="dxa" w:w="3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Exit criteria</w:t>
            </w:r>
          </w:p>
        </w:tc>
      </w:tr>
      <w:tr>
        <w:tc>
          <w:tcPr>
            <w:tcW w:type="dxa" w:w="1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Day 0</w:t>
            </w:r>
          </w:p>
        </w:tc>
        <w:tc>
          <w:tcPr>
            <w:tcW w:type="dxa" w:w="1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Week 0</w:t>
            </w:r>
          </w:p>
        </w:tc>
        <w:tc>
          <w:tcPr>
            <w:tcW w:type="dxa" w:w="4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Access, artifacts, stakeholder map, cadence, risk/decision registers</w:t>
            </w:r>
          </w:p>
        </w:tc>
        <w:tc>
          <w:tcPr>
            <w:tcW w:type="dxa" w:w="3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You can see everything; registers live</w:t>
            </w:r>
          </w:p>
        </w:tc>
      </w:tr>
      <w:tr>
        <w:tc>
          <w:tcPr>
            <w:tcW w:type="dxa" w:w="1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Discover</w:t>
            </w:r>
          </w:p>
        </w:tc>
        <w:tc>
          <w:tcPr>
            <w:tcW w:type="dxa" w:w="1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Weeks 1–3</w:t>
            </w:r>
          </w:p>
        </w:tc>
        <w:tc>
          <w:tcPr>
            <w:tcW w:type="dxa" w:w="4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Tenancy/entitlement audit, environment &amp; integration inventory, current-state findings</w:t>
            </w:r>
          </w:p>
        </w:tc>
        <w:tc>
          <w:tcPr>
            <w:tcW w:type="dxa" w:w="3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Signed-off current-state pack + confirmed entitlements</w:t>
            </w:r>
          </w:p>
        </w:tc>
      </w:tr>
      <w:tr>
        <w:tc>
          <w:tcPr>
            <w:tcW w:type="dxa" w:w="1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Plan</w:t>
            </w:r>
          </w:p>
        </w:tc>
        <w:tc>
          <w:tcPr>
            <w:tcW w:type="dxa" w:w="1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Weeks 2–6</w:t>
            </w:r>
          </w:p>
        </w:tc>
        <w:tc>
          <w:tcPr>
            <w:tcW w:type="dxa" w:w="4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Target architecture blueprint, landing-zone design, identity design, environment/release calendar, migration &amp; integration strategies</w:t>
            </w:r>
          </w:p>
        </w:tc>
        <w:tc>
          <w:tcPr>
            <w:tcW w:type="dxa" w:w="3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Architecture board approves blueprint + decision gates dispositioned</w:t>
            </w:r>
          </w:p>
        </w:tc>
      </w:tr>
      <w:tr>
        <w:tc>
          <w:tcPr>
            <w:tcW w:type="dxa" w:w="1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Assess</w:t>
            </w:r>
          </w:p>
        </w:tc>
        <w:tc>
          <w:tcPr>
            <w:tcW w:type="dxa" w:w="1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Weeks 4–7</w:t>
            </w:r>
          </w:p>
        </w:tc>
        <w:tc>
          <w:tcPr>
            <w:tcW w:type="dxa" w:w="4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Policy dependency analysis, compartment move plan, security/readiness assessment, mock-conversion readiness</w:t>
            </w:r>
          </w:p>
        </w:tc>
        <w:tc>
          <w:tcPr>
            <w:tcW w:type="dxa" w:w="3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Move plan rehearsed; gaps have owners and dates</w:t>
            </w:r>
          </w:p>
        </w:tc>
      </w:tr>
      <w:tr>
        <w:tc>
          <w:tcPr>
            <w:tcW w:type="dxa" w:w="1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Build</w:t>
            </w:r>
          </w:p>
        </w:tc>
        <w:tc>
          <w:tcPr>
            <w:tcW w:type="dxa" w:w="1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Weeks 6–20+</w:t>
            </w:r>
          </w:p>
        </w:tc>
        <w:tc>
          <w:tcPr>
            <w:tcW w:type="dxa" w:w="4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Landing-zone waves 0–4: guardrails → structure/network → PaaS provisioning → FDI → integration &amp; data pipelines; cutover rehearsals</w:t>
            </w:r>
          </w:p>
        </w:tc>
        <w:tc>
          <w:tcPr>
            <w:tcW w:type="dxa" w:w="3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Prod landing zone certified; mocks 2–3 clean; cutover runbook signed</w:t>
            </w:r>
          </w:p>
        </w:tc>
      </w:tr>
      <w:tr>
        <w:tc>
          <w:tcPr>
            <w:tcW w:type="dxa" w:w="1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Manage</w:t>
            </w:r>
          </w:p>
        </w:tc>
        <w:tc>
          <w:tcPr>
            <w:tcW w:type="dxa" w:w="1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From first Dev handover</w:t>
            </w:r>
          </w:p>
        </w:tc>
        <w:tc>
          <w:tcPr>
            <w:tcW w:type="dxa" w:w="4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Operating model, monitoring, patch/refresh calendar, access certification, support tiers, hypercare</w:t>
            </w:r>
          </w:p>
        </w:tc>
        <w:tc>
          <w:tcPr>
            <w:tcW w:type="dxa" w:w="3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Steady-state ops with SLOs; hypercare exited</w:t>
            </w:r>
          </w:p>
        </w:tc>
      </w:tr>
      <w:tr>
        <w:tc>
          <w:tcPr>
            <w:tcW w:type="dxa" w:w="1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Optimize</w:t>
            </w:r>
          </w:p>
        </w:tc>
        <w:tc>
          <w:tcPr>
            <w:tcW w:type="dxa" w:w="1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Continuous post-go-live</w:t>
            </w:r>
          </w:p>
        </w:tc>
        <w:tc>
          <w:tcPr>
            <w:tcW w:type="dxa" w:w="4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FinOps, Cloud Advisor, posture score, FDI expansion, MFT/SFTP replacement roadmap</w:t>
            </w:r>
          </w:p>
        </w:tc>
        <w:tc>
          <w:tcPr>
            <w:tcW w:type="dxa" w:w="3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Quarterly optimization review installed</w:t>
            </w:r>
          </w:p>
        </w:tc>
      </w:tr>
    </w:tbl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6. Day 0 — Before You Touch Anything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6.1 Access and artifacts to obtain (first 48 hours)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Tenancy access: OCI Console access with (initially) read-all; confirm who holds the tenancy Administrator role and where breakglass credentials live today.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Oracle contract picture: subscription documents, CSI numbers, universal-credit vs SaaS line items, entitlement confirmation (Prod + Test + Dev1–n per pillar; OIC/ATP/FDI SKUs and sizing; BYOL positions).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Environment handles: URLs and admin contacts for every Fusion pod, OIC instances, existing ATP, Visual Builder Studio, any data-integration workspaces.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My Oracle Support: access to the support identifier; visibility of open SRs and the Fusion release schedule per pod.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The governance corpus: compartment/IAM strategy docs, rule-set drafts, OIC/File Server notes, plus any Terraform/scripts already applied to the tenancy.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Existing identity state: identity-domain list, current users/groups, any federation already configured, how partner users authenticate today.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6.2 Stakeholder map and cadence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Identify owners for: tenancy admin, network, security/SOC, Fusion functional leads per pillar, data/MDM owner, each partner lead, Oracle account team (CSM / domain specialists), and the program manager.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Install cadence: weekly architecture working session, weekly platform build stand-up (once Build starts), fortnightly architecture board for decisions, and a single decision log + risk register (start them Day 0 — seed with §14).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Agree the RACI boundary explicitly: you own the OCI plane and the identity bridge; the functional team owns Fusion RBAC/SoD; the data owner owns master-data quality; partners build inside the guardrails you set (Appendix D).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6.3 Day-0 quick wins (safe, high-signal)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Turn on / verify Cloud Guard at tenancy level (detect-only), confirm audit-log retention is maximized, and snapshot an export of all current IAM policies and compartments as the Assess-phase baseline.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Create the decision-gate register (§14) and get dates against the two that block everything else: identity topology (G3) and Payroll-in-scope (HCM).</w:t>
      </w:r>
    </w:p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7. DISCOVER (Weeks 1–3)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Goal: a signed-off current-state pack. Nothing is built yet; you are creating the factual baseline every later phase depends on.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7.1 Tenancy and platform audit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Full inventory: compartments (including any transitional tree), all IAM policies (export verbatim), identity domains, dynamic groups, tag namespaces, budgets, quotas, Cloud Guard state, logging config, existing VCNs and orphaned resources.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Flag debris now: root-level workspace policies; any policies written 'in tenancy' that should be compartment-scoped; unused resources in sandbox/data-integration compartments.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Region strategy: confirm home region, FDI/OIC/ATP region alignment with the Fusion pods, and capture any latency/data-residency constraints for later DR design.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7.2 Subscription and environment verification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Reconcile procured vs provisioned: per pillar (ERP, EPM, HCM, CX) confirm which of Prod/Test/Dev1–n exist, their releases, and the quarterly-update schedule; confirm FDI status; capture OIC edition/message-pack sizing and ATP OCPU/storage/licensing.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Build the environment register (living artifact): pod → purpose → release → refresh source → connected OIC/FDI/ATP instances → owning team.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7.3 Integration and application discovery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Interface inventory: every planned integration — banks (payments/statements), tax, e-invoicing/statutory, payroll interfaces (if in scope), CX↔ERP flows, EPM data loads, third-party systems, and each partner component — with direction, pattern (REST/SOAP/FBDI/HDL/extract), volume, and frequency.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Review each partner footprint: what they deploy (compute? functions? OIC artifacts?), what network/LB/object-storage access they truly need — this validates or trims the drafted vendor policies.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Assess current OIC usage: projects, Dev File Server configuration (project-specific user security, OIC/&lt;project&gt; folders), and Visual Builder Studio environments — input to the OIC governance annex (G9).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7.4 Data discovery (support role for the platform lead)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Master-data census from the legacy system: COA + segment values, ledgers/BUs/legal entities, suppliers, customers, items/products, bank accounts, workers, jobs/positions/grades, cost centres, projects, asset masters — owner, volume, and quality per object.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Platform angle: where staging happens (ATP schemas), how files move (object storage vs OIC File Server), and whether legacy history is wanted in FDI's ADW custom schemas for reporting after retirement.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7.5 Discover-phase deliverables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Current-state architecture pack; entitlement reconciliation; environment register v1; integration inventory v1; master-data census; debris/risk list feeding Assess.</w:t>
      </w:r>
    </w:p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8. PLAN (Weeks 2–6)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Goal: an approved target blueprint and the strategies that govern Build. Run Plan in parallel with late Discover — do not serialize.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8.1 Target platform blueprint (core deliverable)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Adopt an environment-first compartment model: root → Governance, Shared-Services (Networking, Identity-Integrations, Shared-Tools, Vault/KMS), Applications {Dev1, Dev2, Test, Prod} × {Partner A, Partner B, Internal, PaaS}, SaaS handles {ERP, EPM, HCM, CX}, Analytics (FDI), Sandbox. Full tree in Appendix A.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Network design per environment VCN: Service Gateway (OSN), NAT, no IGW in Prod, Integration-Shared-Subnet + App-Processing-Subnet (+ optional Vendor-Isolated-Subnet if the gate in §14 requires), NSGs, private DNS, ATP private endpoints.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Identity design (G3): domain topology, IdP federation (SAML/OIDC), SCIM/HDL provisioning from HCM, MFA policy, admin tiers, breakglass procedure. One SSO across Fusion + OIC + FDI/OAC + Console.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IAM policy set: write the full rule set with valid syntax (Appendix B), scoped per group per compartment, conditions instead of pseudo-denies.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Tag schema finalization (Appendix C) with required defaults incl. CostCenter and Partner; budgets and quotas per compartment.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8.2 Environment and release management plan (G14)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Map Fusion envs to platform envs: which OIC instance serves which pod; FDI Prod against Fusion Prod (non-prod FDI later); ATP per env or shared-with-schema-isolation in Dev.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Publish the calendar: quarterly Fusion update windows per pod, P2T refresh cadence, post-refresh re-pointing runbook, code-freeze rules.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8.3 Integration architecture and OIC governance annex (G9)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Patterns catalogue: FBDI/HDL batch via OIC + object storage; REST/SOAP real-time; ERP business events where applicable; error-hospital pattern; naming standards; connection/credential management via Vault.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OIC standards: project structure, role model per env, CI/CD promotion pipeline (OIC APIs + Git), File Server folder/user/group standards agreed before Test/Prod promotion.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8.4 Data migration strategy (platform view)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One-time load, master data + opening balances (opening trial balance as GL journal). Tooling: FBDI (ERP/SCM/Procurement), HDL (HCM), REST/file import (CX), ADFdi for small sets. 2–3 mock cycles with entry/exit criteria; reconciliation reporting via FDI/OTBI; legacy freeze-and-extract plan.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8.5 Security, compliance and Fusion-security workstream charter (G2)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Cloud Guard target state per env; Security Zones on Applications:Prod, Analytics, Vault/KMS; SIEM export decision; vulnerability/posture reporting.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Charter the Fusion security workstream with the functional team: role design method, SoD ruleset, access certification cadence — you review the identity touchpoints only.</w:t>
      </w:r>
    </w:p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9. ASSESS (Weeks 4–7)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Goal: prove the transition from a transitional tenancy to the target blueprint is safe, and that the organization is ready to build.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Policy dependency analysis.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For every exported policy: hard-coded compartment paths, 'in tenancy' over-scoping, references that break when compartments move. Resources do not move with compartments — IAM evaluation paths change; cross-compartment grants may need updates.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Integration/tooling dependency check.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Terraform state, CI/CD pipelines, monitoring and cost tools, and any external tooling that references OCIDs or compartment paths.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Compartment move plan.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Export all policies → identify dependencies → inventory OIC instances, API gateways, object storage, functions, identity integrations → create target compartments → apply baseline policies → dry-run validation → move ONE low-risk compartment → validate access, workloads, automation → then batch the rest.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Security assessment.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Cloud Guard findings triage, public-exposure scan (object storage, open 22/3389/0.0.0.0/0, public IPs), IAM over-permission review, MFA coverage, breakglass validation.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Readiness assessment.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Skills (is a dedicated OCI engineer needed on the customer side — validate), partner onboarding readiness, data-owner readiness for mock 1, decision gates dispositioned or dated.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Assess deliverables.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Move runbook (rehearsed), remediation backlog with owners, security baseline report, readiness scorecard, and the go/no-go to start Build waves.</w:t>
      </w:r>
    </w:p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10. BUILD (Weeks 6–20+, in Waves)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Everything below is Terraform-first: hand-built consoles do not survive four environments and a restructure. Stand up a platform repo + state backend (object storage with versioning) in Wave 0 and treat the landing zone as code from day one. Consider the Oracle-published CIS-aligned landing-zone modules as accelerators, adapted to the approved blueprint.</w:t>
      </w:r>
    </w:p>
    <w:p>
      <w:pPr>
        <w:pStyle w:val="Heading2"/>
        <w:spacing w:after="110" w:before="230"/>
      </w:pPr>
      <w:r>
        <w:rPr>
          <w:rFonts w:ascii="Calibri" w:cs="Calibri" w:eastAsia="Calibri" w:hAnsi="Calibri"/>
          <w:b/>
          <w:bCs/>
          <w:color w:val="312D2A"/>
          <w:sz w:val="24"/>
          <w:szCs w:val="24"/>
        </w:rPr>
        <w:t xml:space="preserve">Wave 0 — Guardrails first (before any builder access)</w:t>
      </w:r>
    </w:p>
    <w:p>
      <w:pPr>
        <w:pStyle w:val="ListParagraph"/>
        <w:numPr>
          <w:ilvl w:val="0"/>
          <w:numId w:val="4"/>
        </w:numPr>
        <w:spacing w:after="7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Tag namespace + required tag defaults; groups (incl. grp-analytics, grp-breakglass-admins, grp-readonly-global) mapped to identity domain / IdP groups; baseline policy set from Appendix B.</w:t>
      </w:r>
    </w:p>
    <w:p>
      <w:pPr>
        <w:pStyle w:val="ListParagraph"/>
        <w:numPr>
          <w:ilvl w:val="0"/>
          <w:numId w:val="4"/>
        </w:numPr>
        <w:spacing w:after="7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Governance compartment: audit retention max, Logging/Log Analytics sinks, Cloud Guard tenancy-wide (detect), budgets + alerts per top-level compartment, compartment quotas for Dev/Sandbox.</w:t>
      </w:r>
    </w:p>
    <w:p>
      <w:pPr>
        <w:pStyle w:val="ListParagraph"/>
        <w:numPr>
          <w:ilvl w:val="0"/>
          <w:numId w:val="4"/>
        </w:numPr>
        <w:spacing w:after="7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Identity: federation to corporate IdP, MFA enforcement, admin tiers, breakglass accounts vaulted + alarmed.</w:t>
      </w:r>
    </w:p>
    <w:p>
      <w:pPr>
        <w:pStyle w:val="Heading2"/>
        <w:spacing w:after="110" w:before="230"/>
      </w:pPr>
      <w:r>
        <w:rPr>
          <w:rFonts w:ascii="Calibri" w:cs="Calibri" w:eastAsia="Calibri" w:hAnsi="Calibri"/>
          <w:b/>
          <w:bCs/>
          <w:color w:val="312D2A"/>
          <w:sz w:val="24"/>
          <w:szCs w:val="24"/>
        </w:rPr>
        <w:t xml:space="preserve">Wave 1 — Structure and network</w:t>
      </w:r>
    </w:p>
    <w:p>
      <w:pPr>
        <w:pStyle w:val="ListParagraph"/>
        <w:numPr>
          <w:ilvl w:val="0"/>
          <w:numId w:val="5"/>
        </w:numPr>
        <w:spacing w:after="7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Create the target compartment tree (Appendix A); execute the compartment move runbook from Assess; retire transitional compartments; re-home any workspace policies (G11).</w:t>
      </w:r>
    </w:p>
    <w:p>
      <w:pPr>
        <w:pStyle w:val="ListParagraph"/>
        <w:numPr>
          <w:ilvl w:val="0"/>
          <w:numId w:val="5"/>
        </w:numPr>
        <w:spacing w:after="7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Build VCN-Dev1/Dev2/Test/Prod with subnets, Service Gateway, NAT, NSGs, private DNS; Vault/KMS in Shared-Services; Security Zones on Prod + Analytics + Vault.</w:t>
      </w:r>
    </w:p>
    <w:p>
      <w:pPr>
        <w:pStyle w:val="Heading2"/>
        <w:spacing w:after="110" w:before="230"/>
      </w:pPr>
      <w:r>
        <w:rPr>
          <w:rFonts w:ascii="Calibri" w:cs="Calibri" w:eastAsia="Calibri" w:hAnsi="Calibri"/>
          <w:b/>
          <w:bCs/>
          <w:color w:val="312D2A"/>
          <w:sz w:val="24"/>
          <w:szCs w:val="24"/>
        </w:rPr>
        <w:t xml:space="preserve">Wave 2 — PaaS provisioning</w:t>
      </w:r>
    </w:p>
    <w:p>
      <w:pPr>
        <w:pStyle w:val="ListParagraph"/>
        <w:numPr>
          <w:ilvl w:val="0"/>
          <w:numId w:val="6"/>
        </w:numPr>
        <w:spacing w:after="7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OIC instances per environment in Applications:{env}:PaaS; ATP with private endpoint in App-Processing-Subnet; object storage buckets (per env, per purpose, lifecycle policies); API Gateway where needed.</w:t>
      </w:r>
    </w:p>
    <w:p>
      <w:pPr>
        <w:pStyle w:val="ListParagraph"/>
        <w:numPr>
          <w:ilvl w:val="0"/>
          <w:numId w:val="6"/>
        </w:numPr>
        <w:spacing w:after="7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Apply the OIC governance annex: projects, roles per env, connections via Vault, CI/CD promotion pipeline, File Server standards (Dev pattern reviewed before promotion).</w:t>
      </w:r>
    </w:p>
    <w:p>
      <w:pPr>
        <w:pStyle w:val="ListParagraph"/>
        <w:numPr>
          <w:ilvl w:val="0"/>
          <w:numId w:val="6"/>
        </w:numPr>
        <w:spacing w:after="7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Onboard partners: partner groups scoped to their compartments; verify Vendor A cannot see Vendor B; hand over 'paved-road' docs (how to get a subnet, a bucket, a secret, a connection).</w:t>
      </w:r>
    </w:p>
    <w:p>
      <w:pPr>
        <w:pStyle w:val="Heading2"/>
        <w:spacing w:after="110" w:before="230"/>
      </w:pPr>
      <w:r>
        <w:rPr>
          <w:rFonts w:ascii="Calibri" w:cs="Calibri" w:eastAsia="Calibri" w:hAnsi="Calibri"/>
          <w:b/>
          <w:bCs/>
          <w:color w:val="312D2A"/>
          <w:sz w:val="24"/>
          <w:szCs w:val="24"/>
        </w:rPr>
        <w:t xml:space="preserve">Wave 3 — Analytics (FDI)</w:t>
      </w:r>
    </w:p>
    <w:p>
      <w:pPr>
        <w:pStyle w:val="ListParagraph"/>
        <w:numPr>
          <w:ilvl w:val="0"/>
          <w:numId w:val="7"/>
        </w:numPr>
        <w:spacing w:after="7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Provision FDI (Prod pipeline first) in the Analytics compartment; connect to Fusion Prod source; activate ERP/HCM/CX subject areas per license; map FDI data security to Fusion roles; plan legacy-history custom schemas in ADW if retained.</w:t>
      </w:r>
    </w:p>
    <w:p>
      <w:pPr>
        <w:pStyle w:val="Heading2"/>
        <w:spacing w:after="110" w:before="230"/>
      </w:pPr>
      <w:r>
        <w:rPr>
          <w:rFonts w:ascii="Calibri" w:cs="Calibri" w:eastAsia="Calibri" w:hAnsi="Calibri"/>
          <w:b/>
          <w:bCs/>
          <w:color w:val="312D2A"/>
          <w:sz w:val="24"/>
          <w:szCs w:val="24"/>
        </w:rPr>
        <w:t xml:space="preserve">Wave 4 — Integration and data migration execution</w:t>
      </w:r>
    </w:p>
    <w:p>
      <w:pPr>
        <w:pStyle w:val="ListParagraph"/>
        <w:numPr>
          <w:ilvl w:val="0"/>
          <w:numId w:val="8"/>
        </w:numPr>
        <w:spacing w:after="7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Build integrations per the patterns catalogue; error-hospital + alerting live before mock 1.</w:t>
      </w:r>
    </w:p>
    <w:p>
      <w:pPr>
        <w:pStyle w:val="ListParagraph"/>
        <w:numPr>
          <w:ilvl w:val="0"/>
          <w:numId w:val="8"/>
        </w:numPr>
        <w:spacing w:after="7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Mock conversions: mock 1 (structure/quality shakeout), mock 2 (full-volume timed), mock 3 (dress rehearsal incl. opening balances + reconciliation sign-off). Master-data quality is the critical path — hold the gate.</w:t>
      </w:r>
    </w:p>
    <w:p>
      <w:pPr>
        <w:pStyle w:val="ListParagraph"/>
        <w:numPr>
          <w:ilvl w:val="0"/>
          <w:numId w:val="8"/>
        </w:numPr>
        <w:spacing w:after="7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Cutover: freeze legacy, final extract → transform (ATP staging) → load (FBDI/HDL/REST) → reconcile → open Fusion; hypercare rota agreed; legacy to read-only then decommission per retention policy.</w:t>
      </w:r>
    </w:p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11. MANAGE (Steady-State Operating Model)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Operating model.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Platform team runs Governance/Shared-Services/Analytics; app teams and partners operate inside Applications:{env}; SaaS run handled by functional + SI with Oracle. Publish SLOs and a support-tier matrix (P1 integration failure vs P4 sandbox request).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Observability.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OCI Monitoring alarms (OIC error rates, ATP CPU/storage, budget burn), Logging Analytics dashboards, OIC integration-level monitoring + error hospital, FDI pipeline health checks, Cloud Guard problems routed to the SOC.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Patch and refresh calendar.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Fusion quarterly updates (customer tests, Oracle patches) with regression windows per pod; OIC Oracle-managed patching windows acknowledged; ATP maintenance schedules set; post-P2T re-pointing runbook executed every refresh (G14).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Access lifecycle.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Joiner/mover/leaver via HCM → IdP → domains; quarterly access certification on both planes (OCI groups AND Fusion roles/SoD); breakglass use alarmed and reviewed; partner access time-boxed and re-attested.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Backup/DR.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ATP automatic backups + long-term where needed; object storage versioning/replication by classification; OIC design-time export to Git as recovery position; document RTO/RPO per service and the (accepted) dependency on Oracle for SaaS DR.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Cost management.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Monthly cost review keyed to CostCenter/Partner tags; budget alerts triaged in platform stand-up; showback to vendors/teams.</w:t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12. OPTIMIZE (Continuous)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FinOps.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Cloud Advisor recommendations monthly; ATP auto-scaling tuned to real load; storage lifecycle tiering; delete transitional debris; renegotiate/resize subscriptions at renewal with real consumption data.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Security posture.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Track Cloud Guard security score quarterly; expand Security Zone recipes as maturity grows; periodic red-team-style review of vendor compartments.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Platform roadmap items.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OIC File Server as the standard file-exchange platform and eventual legacy MFT/SFTP replacement (evaluate after go-live stability); FDI non-prod environment; additional FDI subject areas and custom KPIs; EPM build-out (EPBCS/FCCS/ARCS/Narrative Reporting); Dev3/Dev4 activation when parallel project streams demand it.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Continuous governance.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Quarterly governance review: policy drift vs Appendix B, tag compliance rate, unused resources, environment register accuracy, decision-log hygiene.</w:t>
      </w:r>
    </w:p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13. First 30 / 60 / 90 Days as OCI Platform Lead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50"/>
        <w:gridCol w:w="4900"/>
        <w:gridCol w:w="3350"/>
      </w:tblGrid>
      <w:tr>
        <w:trPr>
          <w:tblHeader/>
        </w:trPr>
        <w:tc>
          <w:tcPr>
            <w:tcW w:type="dxa" w:w="1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Horizon</w:t>
            </w:r>
          </w:p>
        </w:tc>
        <w:tc>
          <w:tcPr>
            <w:tcW w:type="dxa" w:w="4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Outcomes you own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Proof it happened</w:t>
            </w:r>
          </w:p>
        </w:tc>
      </w:tr>
      <w:tr>
        <w:tc>
          <w:tcPr>
            <w:tcW w:type="dxa" w:w="1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Day 30</w:t>
            </w:r>
          </w:p>
        </w:tc>
        <w:tc>
          <w:tcPr>
            <w:tcW w:type="dxa" w:w="4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Day-0 checklist complete; current-state pack signed off; entitlements reconciled; governance corrections (§4) accepted by the architecture board; decision gates G3 (identity) and HCM-payroll dated; registers running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Baseline export archived; board minutes accepting the amended compartment model; environment register v1 published</w:t>
            </w:r>
          </w:p>
        </w:tc>
      </w:tr>
      <w:tr>
        <w:tc>
          <w:tcPr>
            <w:tcW w:type="dxa" w:w="1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Day 60</w:t>
            </w:r>
          </w:p>
        </w:tc>
        <w:tc>
          <w:tcPr>
            <w:tcW w:type="dxa" w:w="4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Target blueprint approved; IAM policy set written and peer-reviewed; environment/release calendar published; Assess complete — move runbook rehearsed on one compartment; Terraform repo + Wave 0 guardrails live in Dev scope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One compartment moved and validated; Cloud Guard + budgets + tag defaults active; partners still have zero prod access</w:t>
            </w:r>
          </w:p>
        </w:tc>
      </w:tr>
      <w:tr>
        <w:tc>
          <w:tcPr>
            <w:tcW w:type="dxa" w:w="12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Day 90</w:t>
            </w:r>
          </w:p>
        </w:tc>
        <w:tc>
          <w:tcPr>
            <w:tcW w:type="dxa" w:w="4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Waves 1–2 substantially built: target tree live, transitional tree retired, VCNs + Vault operational, OIC Dev/Test provisioned under the governance annex, ATP private-endpoint live, partner onboarding done on paved-road docs; FDI provisioning scheduled; mock-1 machinery ready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Builders building inside guardrails; first FBDI/HDL pipeline demonstrated end-to-end in Dev; mock 1 date committed</w:t>
            </w:r>
          </w:p>
        </w:tc>
      </w:tr>
    </w:tbl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14. Decision Gates and Open Questions Register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Seed the program decision log with these. Each needs an owner and a date; several block Build waves.</w:t>
      </w:r>
    </w:p>
    <w:tbl>
      <w:tblPr>
        <w:tblW w:type="dxa" w:w="95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3400"/>
        <w:gridCol w:w="3600"/>
        <w:gridCol w:w="2000"/>
      </w:tblGrid>
      <w:tr>
        <w:trPr>
          <w:tblHeader/>
        </w:trP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Decision</w:t>
            </w:r>
          </w:p>
        </w:tc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Why it matters</w:t>
            </w:r>
          </w:p>
        </w:tc>
        <w:tc>
          <w:tcPr>
            <w:tcW w:type="dxa" w:w="2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Blocks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D1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Identity domain topology + IdP federation design (Okta/Entra, SAML vs OIDC)</w:t>
            </w:r>
          </w:p>
        </w:tc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Single SSO across Fusion/OIC/FDI/Console; provisioning source from HCM</w:t>
            </w:r>
          </w:p>
        </w:tc>
        <w:tc>
          <w:tcPr>
            <w:tcW w:type="dxa" w:w="2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Wave 0; all user onboarding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D2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Is Payroll in HCM scope?</w:t>
            </w:r>
          </w:p>
        </w:tc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Major swing: parallel runs, statutory reporting, pay calendars, extra interfaces</w:t>
            </w:r>
          </w:p>
        </w:tc>
        <w:tc>
          <w:tcPr>
            <w:tcW w:type="dxa" w:w="2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HCM timeline; integration inventory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D3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Which CX pillars are licensed/in scope (Sales/Service/CPQ)?</w:t>
            </w:r>
          </w:p>
        </w:tc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Determines CX pods, subject areas, integration patterns</w:t>
            </w:r>
          </w:p>
        </w:tc>
        <w:tc>
          <w:tcPr>
            <w:tcW w:type="dxa" w:w="2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CX workstream; FDI subject areas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D4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FDI non-prod timing (Prod-first confirmed?)</w:t>
            </w:r>
          </w:p>
        </w:tc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Cost vs test coverage for analytics changes</w:t>
            </w:r>
          </w:p>
        </w:tc>
        <w:tc>
          <w:tcPr>
            <w:tcW w:type="dxa" w:w="2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Wave 3 scope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D5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Vendor-isolated subnet vs shared Integration subnet</w:t>
            </w:r>
          </w:p>
        </w:tc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Isolation vs network sprawl</w:t>
            </w:r>
          </w:p>
        </w:tc>
        <w:tc>
          <w:tcPr>
            <w:tcW w:type="dxa" w:w="2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Wave 1 network build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D6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Legacy history retention: FDI/ADW custom schemas, archive, or drop?</w:t>
            </w:r>
          </w:p>
        </w:tc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Reporting continuity vs cost; affects decommission plan</w:t>
            </w:r>
          </w:p>
        </w:tc>
        <w:tc>
          <w:tcPr>
            <w:tcW w:type="dxa" w:w="2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Wave 3–4; decommission runbook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D7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OIC File Server as standard file platform; legacy MFT/SFTP replacement roadmap</w:t>
            </w:r>
          </w:p>
        </w:tc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Security/folder standards must precede Test/Prod</w:t>
            </w:r>
          </w:p>
        </w:tc>
        <w:tc>
          <w:tcPr>
            <w:tcW w:type="dxa" w:w="2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Wave 2 OIC annex; Optimize roadmap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D8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ATP sizing/licensing (BYOL?), shared-vs-per-env in non-prod</w:t>
            </w:r>
          </w:p>
        </w:tc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Cost and isolation trade-off</w:t>
            </w:r>
          </w:p>
        </w:tc>
        <w:tc>
          <w:tcPr>
            <w:tcW w:type="dxa" w:w="2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Wave 2 provisioning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D9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SIEM/SOC export of audit + Cloud Guard events</w:t>
            </w:r>
          </w:p>
        </w:tc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Compliance posture; SOC integration effort</w:t>
            </w:r>
          </w:p>
        </w:tc>
        <w:tc>
          <w:tcPr>
            <w:tcW w:type="dxa" w:w="2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Wave 0 logging design</w:t>
            </w:r>
          </w:p>
        </w:tc>
      </w:tr>
      <w:tr>
        <w:tc>
          <w:tcPr>
            <w:tcW w:type="dxa" w:w="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D10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Dev3/Dev4 activation criteria per pillar</w:t>
            </w:r>
          </w:p>
        </w:tc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Entitlement exists; cost/refresh overhead if activated early</w:t>
            </w:r>
          </w:p>
        </w:tc>
        <w:tc>
          <w:tcPr>
            <w:tcW w:type="dxa" w:w="2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Environment register; refresh calendar</w:t>
            </w:r>
          </w:p>
        </w:tc>
      </w:tr>
    </w:tbl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Appendix A — Target Compartment Tree (Template)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No workloads in root. Replace &lt;tenancy&gt; and partner names per engagement.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&lt;tenancy&gt; (root) — no workloads in root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├─ Governance — IAM policy home, audit/logging sinks, security tooling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├─ Shared-Services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│    ├─ Networking — VCN-Dev1 / VCN-Dev2 / VCN-Test / VCN-Prod (SGW, NAT, NSGs, DNS)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│    ├─ Identity-Integrations — IdP federation apps, SCIM plumbing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│    ├─ Shared-Tools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│    └─ Vault-KMS — secrets &amp; keys (Security Zone)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├─ Applications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│    ├─ Dev1 ── Partner-A / Partner-B / Internal (Fusion-Integrations) + PaaS (OIC, ATP, API GW)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│    ├─ Dev2 ── same pattern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│    ├─ Test ── same pattern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│    └─ Prod ── same pattern (Security Zone)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├─ SaaS — service handles only (Oracle-managed platforms)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│    ├─ ERP (Prod, Test, Dev1–n)      ├─ EPM (Prod, Test, Dev1–n)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│    ├─ HCM (Prod, Test, Dev1–n) — identity source of record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│    └─ CX  (Prod, Test, Dev1–n; licensed pillars per D3)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├─ Analytics — FDI (OAC + Oracle-managed ADW), Prod first (Security Zone)</w:t>
      </w:r>
    </w:p>
    <w:p>
      <w:pPr>
        <w:spacing w:after="20"/>
      </w:pPr>
      <w:r>
        <w:rPr>
          <w:rFonts w:ascii="Consolas" w:cs="Consolas" w:eastAsia="Consolas" w:hAnsi="Consolas"/>
          <w:color w:val="3B3B3B"/>
          <w:sz w:val="17"/>
          <w:szCs w:val="17"/>
        </w:rPr>
        <w:t xml:space="preserve">  └─ Sandbox — data-team experiments; quota-capped</w:t>
      </w:r>
    </w:p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Appendix B — IAM Policy Statements (Valid OCI Syntax)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OCI IAM has no Deny keyword: access is default-deny and policies are additive. Every 'Deny …' from a draft is achieved by scoping allows narrowly and adding guardrails (Security Zones, quotas). Representative set — finalize in Plan §8.1.</w:t>
      </w:r>
    </w:p>
    <w:p>
      <w:pPr>
        <w:spacing w:after="50" w:before="120"/>
      </w:pPr>
      <w:r>
        <w:rPr>
          <w:rFonts w:ascii="Calibri" w:cs="Calibri" w:eastAsia="Calibri" w:hAnsi="Calibri"/>
          <w:b/>
          <w:bCs/>
          <w:color w:val="2E5E8C"/>
          <w:sz w:val="20"/>
          <w:szCs w:val="20"/>
        </w:rPr>
        <w:t xml:space="preserve">Root / breakglass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0"/>
      </w:tblGrid>
      <w:tr>
        <w:tc>
          <w:tcPr>
            <w:tcW w:type="dxa" w:w="9700"/>
            <w:tcBorders>
              <w:top w:val="single" w:color="D9CFC2" w:sz="4"/>
              <w:left w:val="single" w:color="8A6D1D" w:sz="12"/>
              <w:bottom w:val="single" w:color="D9CFC2" w:sz="4"/>
              <w:right w:val="single" w:color="D9CFC2" w:sz="4"/>
            </w:tcBorders>
            <w:shd w:fill="F3EEE7" w:val="clear"/>
            <w:tcMar>
              <w:top w:type="dxa" w:w="80"/>
              <w:left w:type="dxa" w:w="120"/>
              <w:bottom w:type="dxa" w:w="80"/>
              <w:right w:type="dxa" w:w="90"/>
            </w:tcMar>
          </w:tcPr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grp-security to read all-resources in tenancy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grp-breakglass-admins to manage all-resources in tenancy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grp-readonly-global to read all-resources in tenancy</w:t>
            </w:r>
          </w:p>
        </w:tc>
      </w:tr>
    </w:tbl>
    <w:p>
      <w:pPr>
        <w:spacing w:after="50" w:before="120"/>
      </w:pPr>
      <w:r>
        <w:rPr>
          <w:rFonts w:ascii="Calibri" w:cs="Calibri" w:eastAsia="Calibri" w:hAnsi="Calibri"/>
          <w:b/>
          <w:bCs/>
          <w:color w:val="2E5E8C"/>
          <w:sz w:val="20"/>
          <w:szCs w:val="20"/>
        </w:rPr>
        <w:t xml:space="preserve">Network (replaces pseudo 'Deny … virtual-network-family')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0"/>
      </w:tblGrid>
      <w:tr>
        <w:tc>
          <w:tcPr>
            <w:tcW w:type="dxa" w:w="9700"/>
            <w:tcBorders>
              <w:top w:val="single" w:color="D9CFC2" w:sz="4"/>
              <w:left w:val="single" w:color="8A6D1D" w:sz="12"/>
              <w:bottom w:val="single" w:color="D9CFC2" w:sz="4"/>
              <w:right w:val="single" w:color="D9CFC2" w:sz="4"/>
            </w:tcBorders>
            <w:shd w:fill="F3EEE7" w:val="clear"/>
            <w:tcMar>
              <w:top w:type="dxa" w:w="80"/>
              <w:left w:type="dxa" w:w="120"/>
              <w:bottom w:type="dxa" w:w="80"/>
              <w:right w:type="dxa" w:w="90"/>
            </w:tcMar>
          </w:tcPr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grp-network-ops to manage virtual-network-family in compartment Shared-Services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grp-network-ops to read all-resources in tenancy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grp-app-devs to use subnets in compartment Shared-Services where target.vcn.name = 'VCN-Dev1'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# No other group receives a virtual-network-family MANAGE grant — that IS the deny.</w:t>
            </w:r>
          </w:p>
        </w:tc>
      </w:tr>
    </w:tbl>
    <w:p>
      <w:pPr>
        <w:spacing w:after="50" w:before="120"/>
      </w:pPr>
      <w:r>
        <w:rPr>
          <w:rFonts w:ascii="Calibri" w:cs="Calibri" w:eastAsia="Calibri" w:hAnsi="Calibri"/>
          <w:b/>
          <w:bCs/>
          <w:color w:val="2E5E8C"/>
          <w:sz w:val="20"/>
          <w:szCs w:val="20"/>
        </w:rPr>
        <w:t xml:space="preserve">App dev / promotion (replaces 'Deny devs in Prod')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0"/>
      </w:tblGrid>
      <w:tr>
        <w:tc>
          <w:tcPr>
            <w:tcW w:type="dxa" w:w="9700"/>
            <w:tcBorders>
              <w:top w:val="single" w:color="D9CFC2" w:sz="4"/>
              <w:left w:val="single" w:color="8A6D1D" w:sz="12"/>
              <w:bottom w:val="single" w:color="D9CFC2" w:sz="4"/>
              <w:right w:val="single" w:color="D9CFC2" w:sz="4"/>
            </w:tcBorders>
            <w:shd w:fill="F3EEE7" w:val="clear"/>
            <w:tcMar>
              <w:top w:type="dxa" w:w="80"/>
              <w:left w:type="dxa" w:w="120"/>
              <w:bottom w:type="dxa" w:w="80"/>
              <w:right w:type="dxa" w:w="90"/>
            </w:tcMar>
          </w:tcPr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grp-app-devs to manage all-resources in compartment Applications:Dev1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grp-app-devs to manage all-resources in compartment Applications:Dev2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grp-app-admins to manage all-resources in compartment Applications:Test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grp-app-admins to manage all-resources in compartment Applications:Prod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grp-app-admins to read all-resources in tenancy</w:t>
            </w:r>
          </w:p>
        </w:tc>
      </w:tr>
    </w:tbl>
    <w:p>
      <w:pPr>
        <w:spacing w:after="50" w:before="120"/>
      </w:pPr>
      <w:r>
        <w:rPr>
          <w:rFonts w:ascii="Calibri" w:cs="Calibri" w:eastAsia="Calibri" w:hAnsi="Calibri"/>
          <w:b/>
          <w:bCs/>
          <w:color w:val="2E5E8C"/>
          <w:sz w:val="20"/>
          <w:szCs w:val="20"/>
        </w:rPr>
        <w:t xml:space="preserve">Vendors (Partner-A shown)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0"/>
      </w:tblGrid>
      <w:tr>
        <w:tc>
          <w:tcPr>
            <w:tcW w:type="dxa" w:w="9700"/>
            <w:tcBorders>
              <w:top w:val="single" w:color="D9CFC2" w:sz="4"/>
              <w:left w:val="single" w:color="8A6D1D" w:sz="12"/>
              <w:bottom w:val="single" w:color="D9CFC2" w:sz="4"/>
              <w:right w:val="single" w:color="D9CFC2" w:sz="4"/>
            </w:tcBorders>
            <w:shd w:fill="F3EEE7" w:val="clear"/>
            <w:tcMar>
              <w:top w:type="dxa" w:w="80"/>
              <w:left w:type="dxa" w:w="120"/>
              <w:bottom w:type="dxa" w:w="80"/>
              <w:right w:type="dxa" w:w="90"/>
            </w:tcMar>
          </w:tcPr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grp-vendor-a to manage all-resources in compartment Applications:Dev1:Partner-A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grp-vendor-a to use subnets in compartment Shared-Services where target.subnet.name = 'Integration-Shared-Subnet'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grp-vendor-a to use load-balancers in compartment Applications:Dev1:Partner-A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grp-vendor-a to use object-family in compartment Applications:Dev1:Partner-A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# Replicate per partner per environment; Vendor A cannot see Vendor B.</w:t>
            </w:r>
          </w:p>
        </w:tc>
      </w:tr>
    </w:tbl>
    <w:p>
      <w:pPr>
        <w:spacing w:after="50" w:before="120"/>
      </w:pPr>
      <w:r>
        <w:rPr>
          <w:rFonts w:ascii="Calibri" w:cs="Calibri" w:eastAsia="Calibri" w:hAnsi="Calibri"/>
          <w:b/>
          <w:bCs/>
          <w:color w:val="2E5E8C"/>
          <w:sz w:val="20"/>
          <w:szCs w:val="20"/>
        </w:rPr>
        <w:t xml:space="preserve">Analytics, DB, security, cost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0"/>
      </w:tblGrid>
      <w:tr>
        <w:tc>
          <w:tcPr>
            <w:tcW w:type="dxa" w:w="9700"/>
            <w:tcBorders>
              <w:top w:val="single" w:color="D9CFC2" w:sz="4"/>
              <w:left w:val="single" w:color="8A6D1D" w:sz="12"/>
              <w:bottom w:val="single" w:color="D9CFC2" w:sz="4"/>
              <w:right w:val="single" w:color="D9CFC2" w:sz="4"/>
            </w:tcBorders>
            <w:shd w:fill="F3EEE7" w:val="clear"/>
            <w:tcMar>
              <w:top w:type="dxa" w:w="80"/>
              <w:left w:type="dxa" w:w="120"/>
              <w:bottom w:type="dxa" w:w="80"/>
              <w:right w:type="dxa" w:w="90"/>
            </w:tcMar>
          </w:tcPr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grp-analytics to manage all-resources in compartment Analytics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grp-db-admins to manage database-family in compartment Applications:Prod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grp-db-admins to read database-family in compartment Applications:Test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grp-security to manage cloud-guard-family in tenancy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grp-security to manage vaults in compartment Shared-Services:Vault-KMS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grp-cost-audit to read all-resources in tenancy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grp-cost-audit to read usage-reports in tenancy</w:t>
            </w:r>
          </w:p>
        </w:tc>
      </w:tr>
    </w:tbl>
    <w:p>
      <w:pPr>
        <w:spacing w:after="50" w:before="120"/>
      </w:pPr>
      <w:r>
        <w:rPr>
          <w:rFonts w:ascii="Calibri" w:cs="Calibri" w:eastAsia="Calibri" w:hAnsi="Calibri"/>
          <w:b/>
          <w:bCs/>
          <w:color w:val="2E5E8C"/>
          <w:sz w:val="20"/>
          <w:szCs w:val="20"/>
        </w:rPr>
        <w:t xml:space="preserve">Tag governance (replaces the unsafe any-user rule)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0"/>
      </w:tblGrid>
      <w:tr>
        <w:tc>
          <w:tcPr>
            <w:tcW w:type="dxa" w:w="9700"/>
            <w:tcBorders>
              <w:top w:val="single" w:color="D9CFC2" w:sz="4"/>
              <w:left w:val="single" w:color="8A6D1D" w:sz="12"/>
              <w:bottom w:val="single" w:color="D9CFC2" w:sz="4"/>
              <w:right w:val="single" w:color="D9CFC2" w:sz="4"/>
            </w:tcBorders>
            <w:shd w:fill="F3EEE7" w:val="clear"/>
            <w:tcMar>
              <w:top w:type="dxa" w:w="80"/>
              <w:left w:type="dxa" w:w="120"/>
              <w:bottom w:type="dxa" w:w="80"/>
              <w:right w:type="dxa" w:w="90"/>
            </w:tcMar>
          </w:tcPr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grp-security to manage tag-namespaces in tenancy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grp-security to manage tag-defaults in tenancy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Allow group grp-app-admins to manage instance-family in compartment Applications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   where request.resource.tag.Governance.CostCenter is not null</w:t>
            </w:r>
          </w:p>
          <w:p>
            <w:pPr>
              <w:spacing w:after="8"/>
            </w:pPr>
            <w:r>
              <w:rPr>
                <w:rFonts w:ascii="Consolas" w:cs="Consolas" w:eastAsia="Consolas" w:hAnsi="Consolas"/>
                <w:color w:val="3B3B3B"/>
                <w:sz w:val="16"/>
                <w:szCs w:val="16"/>
              </w:rPr>
              <w:t xml:space="preserve"># Primary enforcement = required tag defaults per compartment; conditional allows are the backstop; Cloud Guard detects gaps.</w:t>
            </w:r>
          </w:p>
        </w:tc>
      </w:tr>
    </w:tbl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Appendix C — Governance Tag Schema</w:t>
      </w:r>
    </w:p>
    <w:tbl>
      <w:tblPr>
        <w:tblW w:type="dxa" w:w="9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350"/>
        <w:gridCol w:w="2650"/>
        <w:gridCol w:w="1350"/>
      </w:tblGrid>
      <w:tr>
        <w:trPr>
          <w:tblHeader/>
        </w:trPr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Tag (Governance.*)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Allowed values / pattern</w:t>
            </w:r>
          </w:p>
        </w:tc>
        <w:tc>
          <w:tcPr>
            <w:tcW w:type="dxa" w:w="26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Drives</w:t>
            </w:r>
          </w:p>
        </w:tc>
        <w:tc>
          <w:tcPr>
            <w:tcW w:type="dxa" w:w="1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Required?</w:t>
            </w:r>
          </w:p>
        </w:tc>
      </w:tr>
      <w:tr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Owner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apps-team, integration-team, db-team, vendor-a, vendor-b, platform-team</w:t>
            </w:r>
          </w:p>
        </w:tc>
        <w:tc>
          <w:tcPr>
            <w:tcW w:type="dxa" w:w="26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Ownership, incident routing</w:t>
            </w:r>
          </w:p>
        </w:tc>
        <w:tc>
          <w:tcPr>
            <w:tcW w:type="dxa" w:w="1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Yes (default per compartment)</w:t>
            </w:r>
          </w:p>
        </w:tc>
      </w:tr>
      <w:tr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CostCenter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Finance-aligned list (IT-Shared, ERP-Program, HCM-Operations, Project-###)</w:t>
            </w:r>
          </w:p>
        </w:tc>
        <w:tc>
          <w:tcPr>
            <w:tcW w:type="dxa" w:w="26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Budgets, showback, cost reporting</w:t>
            </w:r>
          </w:p>
        </w:tc>
        <w:tc>
          <w:tcPr>
            <w:tcW w:type="dxa" w:w="1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Yes</w:t>
            </w:r>
          </w:p>
        </w:tc>
      </w:tr>
      <w:tr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Environment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Dev1, Dev2, Test, Prod (matches compartment default)</w:t>
            </w:r>
          </w:p>
        </w:tc>
        <w:tc>
          <w:tcPr>
            <w:tcW w:type="dxa" w:w="26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Tag-driven policies, Cloud Guard env-mismatch detection</w:t>
            </w:r>
          </w:p>
        </w:tc>
        <w:tc>
          <w:tcPr>
            <w:tcW w:type="dxa" w:w="1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Yes (default per compartment)</w:t>
            </w:r>
          </w:p>
        </w:tc>
      </w:tr>
      <w:tr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Application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Fusion-ERP, Fusion-HCM, Fusion-CX, Fusion-EPM, Integration-Platform, Analytics, Shared-Services</w:t>
            </w:r>
          </w:p>
        </w:tc>
        <w:tc>
          <w:tcPr>
            <w:tcW w:type="dxa" w:w="26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Cost rollups, audit clarity</w:t>
            </w:r>
          </w:p>
        </w:tc>
        <w:tc>
          <w:tcPr>
            <w:tcW w:type="dxa" w:w="1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Yes</w:t>
            </w:r>
          </w:p>
        </w:tc>
      </w:tr>
      <w:tr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DataClassification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Public, Internal, Confidential, Restricted</w:t>
            </w:r>
          </w:p>
        </w:tc>
        <w:tc>
          <w:tcPr>
            <w:tcW w:type="dxa" w:w="26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Security Zones, Cloud Guard, access restrictions</w:t>
            </w:r>
          </w:p>
        </w:tc>
        <w:tc>
          <w:tcPr>
            <w:tcW w:type="dxa" w:w="1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Yes</w:t>
            </w:r>
          </w:p>
        </w:tc>
      </w:tr>
      <w:tr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Partner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Internal, Partner-A, Partner-B</w:t>
            </w:r>
          </w:p>
        </w:tc>
        <w:tc>
          <w:tcPr>
            <w:tcW w:type="dxa" w:w="26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Vendor spend attribution, isolation checks</w:t>
            </w:r>
          </w:p>
        </w:tc>
        <w:tc>
          <w:tcPr>
            <w:tcW w:type="dxa" w:w="1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Yes</w:t>
            </w:r>
          </w:p>
        </w:tc>
      </w:tr>
      <w:tr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WorkloadType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Integration, Application, Database, Network, Security, Analytics</w:t>
            </w:r>
          </w:p>
        </w:tc>
        <w:tc>
          <w:tcPr>
            <w:tcW w:type="dxa" w:w="26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Policy targeting, reporting segmentation</w:t>
            </w:r>
          </w:p>
        </w:tc>
        <w:tc>
          <w:tcPr>
            <w:tcW w:type="dxa" w:w="1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Recommended</w:t>
            </w:r>
          </w:p>
        </w:tc>
      </w:tr>
      <w:tr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Lifecycle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Active, Planned, Deprecated</w:t>
            </w:r>
          </w:p>
        </w:tc>
        <w:tc>
          <w:tcPr>
            <w:tcW w:type="dxa" w:w="26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Cleanup automation</w:t>
            </w:r>
          </w:p>
        </w:tc>
        <w:tc>
          <w:tcPr>
            <w:tcW w:type="dxa" w:w="1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Recommended</w:t>
            </w:r>
          </w:p>
        </w:tc>
      </w:tr>
    </w:tbl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Appendix D — RACI Skeleton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A = Accountable, R = Responsible, C = Consulted, I = Informed. Finalize in Day 0 / Discover.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0"/>
        <w:gridCol w:w="1500"/>
        <w:gridCol w:w="1900"/>
        <w:gridCol w:w="1400"/>
        <w:gridCol w:w="1450"/>
      </w:tblGrid>
      <w:tr>
        <w:trPr>
          <w:tblHeader/>
        </w:trPr>
        <w:tc>
          <w:tcPr>
            <w:tcW w:type="dxa" w:w="30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Activity</w:t>
            </w:r>
          </w:p>
        </w:tc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OCI Platform Lead</w:t>
            </w:r>
          </w:p>
        </w:tc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Fusion Functional / Security</w:t>
            </w:r>
          </w:p>
        </w:tc>
        <w:tc>
          <w:tcPr>
            <w:tcW w:type="dxa" w:w="1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Data / MDM Owner</w:t>
            </w:r>
          </w:p>
        </w:tc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Partners</w:t>
            </w:r>
          </w:p>
        </w:tc>
      </w:tr>
      <w:tr>
        <w:tc>
          <w:tcPr>
            <w:tcW w:type="dxa" w:w="30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OCI landing zone, IAM, network, tags, guardrails</w:t>
            </w:r>
          </w:p>
        </w:tc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A/R</w:t>
            </w:r>
          </w:p>
        </w:tc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</w:t>
            </w:r>
          </w:p>
        </w:tc>
        <w:tc>
          <w:tcPr>
            <w:tcW w:type="dxa" w:w="1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</w:t>
            </w:r>
          </w:p>
        </w:tc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</w:t>
            </w:r>
          </w:p>
        </w:tc>
      </w:tr>
      <w:tr>
        <w:tc>
          <w:tcPr>
            <w:tcW w:type="dxa" w:w="30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Identity domains, IdP federation, SSO, breakglass</w:t>
            </w:r>
          </w:p>
        </w:tc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A/R</w:t>
            </w:r>
          </w:p>
        </w:tc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</w:t>
            </w:r>
          </w:p>
        </w:tc>
        <w:tc>
          <w:tcPr>
            <w:tcW w:type="dxa" w:w="1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</w:t>
            </w:r>
          </w:p>
        </w:tc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</w:t>
            </w:r>
          </w:p>
        </w:tc>
      </w:tr>
      <w:tr>
        <w:tc>
          <w:tcPr>
            <w:tcW w:type="dxa" w:w="30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Fusion RBAC, security profiles, SoD, access certification</w:t>
            </w:r>
          </w:p>
        </w:tc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</w:t>
            </w:r>
          </w:p>
        </w:tc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A/R</w:t>
            </w:r>
          </w:p>
        </w:tc>
        <w:tc>
          <w:tcPr>
            <w:tcW w:type="dxa" w:w="1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</w:t>
            </w:r>
          </w:p>
        </w:tc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</w:t>
            </w:r>
          </w:p>
        </w:tc>
      </w:tr>
      <w:tr>
        <w:tc>
          <w:tcPr>
            <w:tcW w:type="dxa" w:w="30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OIC platform + governance annex (incl. File Server)</w:t>
            </w:r>
          </w:p>
        </w:tc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A/R</w:t>
            </w:r>
          </w:p>
        </w:tc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</w:t>
            </w:r>
          </w:p>
        </w:tc>
        <w:tc>
          <w:tcPr>
            <w:tcW w:type="dxa" w:w="1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</w:t>
            </w:r>
          </w:p>
        </w:tc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R (build)</w:t>
            </w:r>
          </w:p>
        </w:tc>
      </w:tr>
      <w:tr>
        <w:tc>
          <w:tcPr>
            <w:tcW w:type="dxa" w:w="30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ATP / object storage / API gateway provisioning</w:t>
            </w:r>
          </w:p>
        </w:tc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A/R</w:t>
            </w:r>
          </w:p>
        </w:tc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</w:t>
            </w:r>
          </w:p>
        </w:tc>
        <w:tc>
          <w:tcPr>
            <w:tcW w:type="dxa" w:w="1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</w:t>
            </w:r>
          </w:p>
        </w:tc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</w:t>
            </w:r>
          </w:p>
        </w:tc>
      </w:tr>
      <w:tr>
        <w:tc>
          <w:tcPr>
            <w:tcW w:type="dxa" w:w="30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FDI provisioning + security mapping</w:t>
            </w:r>
          </w:p>
        </w:tc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A/R</w:t>
            </w:r>
          </w:p>
        </w:tc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 (role mapping)</w:t>
            </w:r>
          </w:p>
        </w:tc>
        <w:tc>
          <w:tcPr>
            <w:tcW w:type="dxa" w:w="1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</w:t>
            </w:r>
          </w:p>
        </w:tc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</w:t>
            </w:r>
          </w:p>
        </w:tc>
      </w:tr>
      <w:tr>
        <w:tc>
          <w:tcPr>
            <w:tcW w:type="dxa" w:w="30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Master data extraction, cleansing, quality gates</w:t>
            </w:r>
          </w:p>
        </w:tc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 (machinery)</w:t>
            </w:r>
          </w:p>
        </w:tc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 (rules)</w:t>
            </w:r>
          </w:p>
        </w:tc>
        <w:tc>
          <w:tcPr>
            <w:tcW w:type="dxa" w:w="1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A/R</w:t>
            </w:r>
          </w:p>
        </w:tc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R (build)</w:t>
            </w:r>
          </w:p>
        </w:tc>
      </w:tr>
      <w:tr>
        <w:tc>
          <w:tcPr>
            <w:tcW w:type="dxa" w:w="30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Mock conversions + cutover runbook</w:t>
            </w:r>
          </w:p>
        </w:tc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R (platform)</w:t>
            </w:r>
          </w:p>
        </w:tc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</w:t>
            </w:r>
          </w:p>
        </w:tc>
        <w:tc>
          <w:tcPr>
            <w:tcW w:type="dxa" w:w="1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</w:t>
            </w:r>
          </w:p>
        </w:tc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R</w:t>
            </w:r>
          </w:p>
        </w:tc>
      </w:tr>
      <w:tr>
        <w:tc>
          <w:tcPr>
            <w:tcW w:type="dxa" w:w="30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Environment &amp; release calendar (updates, P2T)</w:t>
            </w:r>
          </w:p>
        </w:tc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A/R</w:t>
            </w:r>
          </w:p>
        </w:tc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</w:t>
            </w:r>
          </w:p>
        </w:tc>
        <w:tc>
          <w:tcPr>
            <w:tcW w:type="dxa" w:w="1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</w:t>
            </w:r>
          </w:p>
        </w:tc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</w:t>
            </w:r>
          </w:p>
        </w:tc>
      </w:tr>
      <w:tr>
        <w:tc>
          <w:tcPr>
            <w:tcW w:type="dxa" w:w="30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Cost management &amp; optimization</w:t>
            </w:r>
          </w:p>
        </w:tc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A/R</w:t>
            </w:r>
          </w:p>
        </w:tc>
        <w:tc>
          <w:tcPr>
            <w:tcW w:type="dxa" w:w="1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</w:t>
            </w:r>
          </w:p>
        </w:tc>
        <w:tc>
          <w:tcPr>
            <w:tcW w:type="dxa" w:w="1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</w:t>
            </w:r>
          </w:p>
        </w:tc>
        <w:tc>
          <w:tcPr>
            <w:tcW w:type="dxa" w:w="1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</w:t>
            </w:r>
          </w:p>
        </w:tc>
      </w:tr>
    </w:tbl>
    <w:p>
      <w:r>
        <w:br w:type="page"/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Appendix E — Tailoring Checklist (Placeholders to Fill)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Before issuing this playbook for a specific engagement, replace every placeholder below and confirm the assumptions. This is what turns the generic template into an engagement artifact.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550"/>
        <w:gridCol w:w="3550"/>
      </w:tblGrid>
      <w:tr>
        <w:trPr>
          <w:tblHeader/>
        </w:trPr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Placeholder / assumption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Replace with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Notes</w:t>
            </w:r>
          </w:p>
        </w:tc>
      </w:tr>
      <w:tr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&lt;tenancy&gt;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The OCI tenancy name / OCID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Appears in the compartment tree and policies</w:t>
            </w:r>
          </w:p>
        </w:tc>
      </w:tr>
      <w:tr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&lt;realm&gt; / pod names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Actual Fusion pod identifiers per pillar/env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Record in the environment register (§7.2)</w:t>
            </w:r>
          </w:p>
        </w:tc>
      </w:tr>
      <w:tr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Legacy ERP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The incumbent system name and its fate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Confirm retire-at-go-live vs coexistence — changes migration &amp; integration scope</w:t>
            </w:r>
          </w:p>
        </w:tc>
      </w:tr>
      <w:tr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Partner-A / Partner-B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Actual SI/integration partner names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Drives vendor compartments, groups, and policies</w:t>
            </w:r>
          </w:p>
        </w:tc>
      </w:tr>
      <w:tr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Pillars in scope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ERP / EPM / HCM / CX (and CX sub-pillars)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Confirm licensing (D3) and Payroll-in-HCM (D2)</w:t>
            </w:r>
          </w:p>
        </w:tc>
      </w:tr>
      <w:tr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Environments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Dev1..Devn / Test / Prod actually entitled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Dev3/Dev4 activation is a decision gate (D10)</w:t>
            </w:r>
          </w:p>
        </w:tc>
      </w:tr>
      <w:tr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CostCenter / Owner values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Finance-aligned lists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Populate the tag schema (Appendix C)</w:t>
            </w:r>
          </w:p>
        </w:tc>
      </w:tr>
      <w:tr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IdP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Corporate identity provider (Okta / Entra / other)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Federation protocol SAML vs OIDC (D1)</w:t>
            </w:r>
          </w:p>
        </w:tc>
      </w:tr>
      <w:tr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Region(s)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Home region + DR region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Align FDI/OIC/ATP to the Fusion pods' region</w:t>
            </w:r>
          </w:p>
        </w:tc>
      </w:tr>
      <w:tr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SIEM / SOC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Customer security operations target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Audit + Cloud Guard export decision (D9)</w:t>
            </w:r>
          </w:p>
        </w:tc>
      </w:tr>
      <w:tr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Program timeline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Actual dates per phase</w:t>
            </w:r>
          </w:p>
        </w:tc>
        <w:tc>
          <w:tcPr>
            <w:tcW w:type="dxa" w:w="35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6"/>
              <w:left w:type="dxa" w:w="80"/>
              <w:bottom w:type="dxa" w:w="46"/>
              <w:right w:type="dxa" w:w="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The 9–12 month roadmap is indicative only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i/>
          <w:iCs/>
          <w:color w:val="6B6560"/>
          <w:sz w:val="18"/>
          <w:szCs w:val="18"/>
        </w:rPr>
        <w:t xml:space="preserve">This playbook is a generic template synthesized from a project-specific Oracle Cloud Enablement Enterprise Architect Playbook. Validate every recommendation against current Oracle documentation and the specific tenancy before execution.</w:t>
      </w:r>
    </w:p>
    <w:sectPr>
      <w:pgSz w:w="12240" w:h="15840" w:orient="portrait"/>
      <w:pgMar w:top="1080" w:right="1120" w:bottom="1080" w:left="11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12D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2026-09-29T04:29:40.955Z</dcterms:created>
  <dcterms:modified xsi:type="dcterms:W3CDTF">2026-09-29T04:29:40.966Z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