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14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b6560"/>
          <w:sz w:val="20"/>
          <w:szCs w:val="20"/>
          <w:rtl w:val="0"/>
        </w:rPr>
        <w:t xml:space="preserve">ENTERPRISE — ORACLE CLOUD PROGRAM — VOLUME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54"/>
          <w:szCs w:val="54"/>
          <w:rtl w:val="0"/>
        </w:rPr>
        <w:t xml:space="preserve">Multi-Cloud Extension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20" w:lineRule="auto"/>
        <w:rPr/>
      </w:pPr>
      <w:r w:rsidDel="00000000" w:rsidR="00000000" w:rsidRPr="00000000">
        <w:rPr>
          <w:rFonts w:ascii="Calibri" w:cs="Calibri" w:eastAsia="Calibri" w:hAnsi="Calibri"/>
          <w:color w:val="312d2a"/>
          <w:sz w:val="26"/>
          <w:szCs w:val="26"/>
          <w:rtl w:val="0"/>
        </w:rPr>
        <w:t xml:space="preserve">Extending the OCI Anchor Estate to AWS, Azure and Google Cloud (D15)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color w:val="6b6560"/>
          <w:sz w:val="22"/>
          <w:szCs w:val="22"/>
          <w:rtl w:val="0"/>
        </w:rPr>
        <w:t xml:space="preserve">How the organization's Oracle Cloud platform (Vols 1–8) becomes one venue in a governed multi-cloud estate — without forking the governance model, duplicating the identity plane, or letting workloads land by accident. Core thesis: the organization is already bi-cloud in the control plane (Entra ID and M365 live in Azure); the extension is a governance-parity exercise, not a rebuild.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6b6560"/>
          <w:sz w:val="20"/>
          <w:szCs w:val="20"/>
          <w:rtl w:val="0"/>
        </w:rPr>
        <w:t xml:space="preserve">Status: v1.0 DRAFT for Cloud Governance Board  |  Author: Enterprise Cloud Architect (OCI)  |  August 2026  |  Classification: Internal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1. Drivers and Extension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Legitimate drivers (test every initiative against these):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a workload needs a capability that genuinely lives in one cloud (e.g., BigQuery/Vertex analytics, an AWS-native SaaS ecosystem, Sentinel/M365-adjacent security ops); an acquisition arrives with an existing estate; a vendor delivers only on a specific cloud; or contractual/resilience requirements demand venue diversity. 'Avoiding lock-in' alone is not a driver — undirected multi-cloud buys lock-in to complexity instead.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MC-01 — Extend, never fork: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the Governance Framework v1.2, Responsibility Matrix, tag schema, naming standard, change workflow, and KPI set apply verbatim to every cloud; each cloud gets an implementation mapping (§5), not its own governance.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MC-02 — One identity plane: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Entra ID is the only IdP for all four clouds. No cloud-local users beyond break-glass equivalents; JML remains HCM → Entra → everywhere.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MC-03 — OCI stays the anchor for Fusion-adjacent workloads: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anything that talks to Fusion daily (integration, master data, staging, FDI) stays on OCI — data gravity over OSN makes any other placement strictly worse. Multi-cloud is for net-new workload classes, not for relocating the ERP platform.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MC-04 — Placement by policy, not preference: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every new workload passes the §9 decision table; the answer is recorded in the decision log. 'The team knows AWS' is an input, not a verdict.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MC-05 — Paved roads only: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a cloud is 'open for business' only when its landing zone, tag/policy mapping, SIEM feed, pipeline identity, and network allocation exist — the same rule that kept OCI clean (guardrails before builders).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2. Target Architecture (D15)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8382000" cy="5867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586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3. Identity Extension (Phase 0 — weeks, not months)</w:t>
      </w:r>
      <w:r w:rsidDel="00000000" w:rsidR="00000000" w:rsidRPr="00000000">
        <w:rPr>
          <w:rtl w:val="0"/>
        </w:rPr>
      </w:r>
    </w:p>
    <w:tbl>
      <w:tblPr>
        <w:tblStyle w:val="Table1"/>
        <w:tblW w:w="95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3300"/>
        <w:gridCol w:w="2500"/>
        <w:gridCol w:w="2260"/>
        <w:tblGridChange w:id="0">
          <w:tblGrid>
            <w:gridCol w:w="1500"/>
            <w:gridCol w:w="3300"/>
            <w:gridCol w:w="2500"/>
            <w:gridCol w:w="22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Federation mechanism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Authorization 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Pipeline identity (no stored keys)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OCI (done)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→ identity domains (SAML/SCIM), Vol. 4 §5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groups → OCI-* groups → IAM policies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Resource principals (DG-TERRAFORM-CI)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Native — Entra IS the directory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groups → Azure RBAC roles on management groups/subscriptions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GitHub/ADO OIDC → Entra workload identity federation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AWS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→ IAM Identity Center (SAML + SCIM provisioning)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groups → Identity Center permission sets → account assignments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GitHub/ADO OIDC → IAM role trust policy (web identity)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→ Workforce Identity Federation (no synced users at all)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groups → IAM role bindings on org/folders/projects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GitHub/ADO OIDC → Workload Identity Federation → service account impersonation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color w:val="312d2a"/>
          <w:sz w:val="20"/>
          <w:szCs w:val="20"/>
          <w:rtl w:val="0"/>
        </w:rPr>
        <w:t xml:space="preserve">Naming extends the existing standard: Entra groups CORP-AWS-*, CORP-AZ-*, CORP-GCP-* mirror the CORP-OCI-* pattern; every cloud gets the same role archetypes (admin per domain, developer, support/read, auditor, break-glass equivalent) so the quarterly certification reads identically across venues. Break-glass: one documented emergency path per cloud (AWS root + hardware MFA sealed; Azure emergency access accounts; GCP org-admin recovery), all alarmed like ALM-BREAKGLASS-LOGIN.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4. Network Fabric and CIDR Plan (Phase 2)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1900"/>
        <w:gridCol w:w="5660"/>
        <w:tblGridChange w:id="0">
          <w:tblGrid>
            <w:gridCol w:w="1800"/>
            <w:gridCol w:w="1900"/>
            <w:gridCol w:w="56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Allocation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Block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OCI (as built)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10.10–10.50 /16s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Environments + DR reserve, unchanged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Reserved buffer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10.60.0.0/13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Future OCI growth / second tenancy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10.70.0.0/13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Hub VNet 10.70.0.0/16 first; spokes per landing-zone subscription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AWS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10.80.0.0/13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Network account TGW hub 10.80.0.0/16; spokes per account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10.90.0.0/13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Shared VPC host project 10.90.0.0/16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Interconnect strategy — hub, not mesh: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one NaaS partner hub (Megaport/Equinix class) terminates FastConnect, ExpressRoute, Direct Connect, and GCP Partner Interconnect on a single virtual router; every cloud pair routes through the hub. Add the OCI↔Azure native Interconnect where paired regions exist (lowest latency for any future Database@Azure or Sentinel log shipping). IPSec VPN is the interim/DR path per pair. No direct cloud-to-cloud peering sprawl — 4 clouds meshed directly is 6 relationships to secure and audit; the hub is 4.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DNS: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each cloud keeps private zones ({cloud}.corp.internal pattern); conditional forwarding rules meet at the hub resolver. The Vol. 7 rule extends: no public resolution of internal names, and every cross-cloud flow lands in the flow register with hop-by-hop controls before it is built.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Egress economics: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inter-cloud traffic is billed both directions and is the silent budget killer of multi-cloud; the monthly cost review gains an inter-cloud egress line, and chatty cross-cloud designs (e.g., an AWS app hitting ATP per-request) fail placement review — replicate read models instead, or co-locate.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5. Governance Parity Matrix (Phase 1 — the heart of the extension)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0"/>
        <w:gridCol w:w="1900"/>
        <w:gridCol w:w="1900"/>
        <w:gridCol w:w="1900"/>
        <w:gridCol w:w="1560"/>
        <w:tblGridChange w:id="0">
          <w:tblGrid>
            <w:gridCol w:w="2100"/>
            <w:gridCol w:w="1900"/>
            <w:gridCol w:w="1900"/>
            <w:gridCol w:w="1900"/>
            <w:gridCol w:w="1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Governance control (OCI as-built)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Azure equivalent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AWS equivalent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GCP equivalent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Parity check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Compartment tree (Vol. 3 §5)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Management groups + subscriptions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OUs + accounts (Control Tower)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Folders + 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Same env-first shape: PRD/TST/DEV isolation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IAM policies, default-deny (GOV-PO)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 RBAC + deny via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SCPs + permission boundaries + IAM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IAM + Organization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Least privilege; no wildcard admin outside break-glass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4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Security Zones (preventive)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 Policy deny effects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SCPs + Control Tower guardrails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Organization Policy constraints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Public-exposure impossible in PRD-class scopes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Cloud Guard (detective)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Defender for 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Security Hub + GuardDuty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Security Command Center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All findings → Sentinel, severity-mapped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governance tag namespace (15 keys)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 tags + tag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AWS tags + tag policies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GCP labels (lowercase mapping table)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≥ 98% compliance KPI measured per cloud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Budgets/quotas (GOV-CG)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5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Cost Mgmt budgets +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AWS Budgets + SCP guardrails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Budgets + quota caps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70/90/100 alerts to same cost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Audit/log sinks, deletion-proof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Log Analytics + immutable storage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CloudTrail (org) + S3 object lock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Cloud Audit Logs + locked bucket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Retention parity; feeds Sentinel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Change workflow + drift (GOV-CH)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same 8-step CAB + TF drift job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One CAB, per-cloud pipelines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Vendor isolation (GP-06)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Partner subscriptions/RGs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6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Partner accounts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7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Partner 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7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A-cannot-see-B test quarterly, per cloud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color w:val="312d2a"/>
          <w:sz w:val="20"/>
          <w:szCs w:val="20"/>
          <w:rtl w:val="0"/>
        </w:rPr>
        <w:t xml:space="preserve">Deliverable per cloud: a Landing Zone Annex (10–15 pages) to the Governance Standard — same GOV-* control IDs, cloud-specific implementation column. Accelerators: Azure landing zone reference, AWS Control Tower, GCP foundation blueprint — adopted the way the OCI CIS modules were: adapted to the organization's compartment tree, never wholesale.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6. IaC and CI/CD Extension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Repo strategy: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oci-platform stays; add azure-platform, aws-platform, gcp-platform — same layout (global/ modules/ envs/ pipelines/), same branch model, same plan-on-PR / apply-on-merge / CAB-gated-PRD pipeline pattern. A small cloud-core repo holds what is genuinely shared: tag-schema definitions, naming validators, policy-as-code tests, the CIDR registry as data.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Providers &amp; state: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per-cloud Terraform providers, state stays in each cloud's native backend (OCI Object Storage as-built; Azure Storage; S3+DynamoDB; GCS) — cross-cloud state hostage-taking is an anti-pattern. All pipeline auth via OIDC federation (§3 table) — the zero-stored-keys rule becomes tenancy-wide law.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Guardrail tests travel: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the same checkov/tflint gates run per cloud with per-provider rule packs; a PR that weakens a parity control (§5) requires Security review exactly as IAM/network PRs do today.</w:t>
      </w:r>
    </w:p>
    <w:p w:rsidR="00000000" w:rsidDel="00000000" w:rsidP="00000000" w:rsidRDefault="00000000" w:rsidRPr="00000000" w14:paraId="00000077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7. Security Operations and Compliance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SIEM decision: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Microsoft Sentinel is the natural single pane (Entra/M365 gravity, Defender native, mature OCI/AWS/GCP connectors): Cloud Guard problems, Security Hub/GuardDuty findings, SCC findings, and all audit trails ship to Sentinel with a common severity mapping; the monthly security review reads one queue. This also finally closes gate D9 (SIEM export) from the OCI design.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Secrets: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per-cloud native vaults (OCI Vault as-built, Azure Key Vault, AWS Secrets Manager, GCP Secret Manager) with the same rules — 90-day rotation, owner recorded, no cross-cloud secret sharing; a workload reads secrets only from its own cloud's vault.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CMMC/FCI: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the Regulated-Workloads enclave stays OCI-only until an equivalent enclave (e.g., AWS GovCloud-pattern or Azure Government assessment) is explicitly certified — regulated scope never spreads by accident; RegulatoryScope tagging extends to all clouds so the boundary is queryable.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8. Data and Integration Rules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OIC remains the integration hub for anything touching Fusion;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cross-cloud app-to-app integration that never touches Fusion may use cloud-native eventing, but must register its flows (Vol. 7 discipline). API Gateway per cloud fronts that cloud's services; no service calls another cloud's private endpoints directly — through gateways, with registered flows.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Data gravity rules: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master data authority stays Fusion; FDI stays OCI; an enterprise analytics lake, if built (e.g., BigQuery), consumes governed extracts from FDI/ADW — never a second extract path from Fusion. Oracle databases needed inside AWS/Azure/GCP use the Database@ services rather than self-managed replicas (keeps Oracle support posture and avoids licensing archaeology).</w:t>
      </w:r>
    </w:p>
    <w:p w:rsidR="00000000" w:rsidDel="00000000" w:rsidP="00000000" w:rsidRDefault="00000000" w:rsidRPr="00000000" w14:paraId="0000007F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9. Workload Placement Policy (decision table)</w:t>
      </w:r>
      <w:r w:rsidDel="00000000" w:rsidR="00000000" w:rsidRPr="00000000">
        <w:rPr>
          <w:rtl w:val="0"/>
        </w:rPr>
      </w:r>
    </w:p>
    <w:tbl>
      <w:tblPr>
        <w:tblStyle w:val="Table4"/>
        <w:tblW w:w="96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700"/>
        <w:gridCol w:w="4360"/>
        <w:tblGridChange w:id="0">
          <w:tblGrid>
            <w:gridCol w:w="3600"/>
            <w:gridCol w:w="1700"/>
            <w:gridCol w:w="43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If the workload 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Then it lands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Because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Integrates with Fusion daily / holds master or staging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OCI (always)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MC-03 data gravity; OSN adjacency; existing guardrails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Is identity, M365-adjacent, security ops, or corp IT tooling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Azure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Entra/M365/Sentinel gravity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Needs a capability materially better on one cloud (named service, not vibes)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That cloud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Best-of-breed with registered flows + egress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Is an acquired estate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Stays put initially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Wrap in governance parity first; migrate only with a business case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8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Needs an Oracle DB inside AWS/Azure/GCP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Database@ service there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MC rules §8; support + licensing posture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Is FCI/CMMC-scoped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OCI Regulated compartment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Until an equivalent enclave is certified (§7)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Has no forcing function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OCI, then Azure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Fewest new moving parts; anchor-first default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10. Phased Roadmap and Exit Criteria</w:t>
      </w:r>
      <w:r w:rsidDel="00000000" w:rsidR="00000000" w:rsidRPr="00000000">
        <w:rPr>
          <w:rtl w:val="0"/>
        </w:rPr>
      </w:r>
    </w:p>
    <w:tbl>
      <w:tblPr>
        <w:tblStyle w:val="Table5"/>
        <w:tblW w:w="96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3800"/>
        <w:gridCol w:w="4560"/>
        <w:tblGridChange w:id="0">
          <w:tblGrid>
            <w:gridCol w:w="1300"/>
            <w:gridCol w:w="3800"/>
            <w:gridCol w:w="4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c74634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B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Exit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C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P0 — Identity (weeks 1–4)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D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Entra federation to AWS Identity Center + GCP WIF; role-archetype groups; break-glass per cloud; pipeline OIDC everywhere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E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One SSO demo across 4 consoles; zero stored pipeline keys; certification covers all clouds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9F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P1 — Governance parity (weeks 3–10)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0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Landing zone annexes per cloud; tag/policy mapping; SIEM feeds live; budgets/quotas; drift jobs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1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Parity matrix (§5) all green; findings from 4 clouds in one Sentinel queue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P2 — Network fabric (weeks 8–14)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3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CIDR allocations; NaaS hub + first two circuits (Azure native Interconnect + AWS); DNS federation; flow-register extension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4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Cross-cloud test flow registered, built, observed in logs both ends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5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P3 — First workloads (from week 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6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One pilot per business-driven cloud through the full paved road (placement review → LZ → pipeline → flows)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fffff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7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Pilot live with zero exceptions; egress cost within estimate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8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P4 — Unified ops (ongoing)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9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One CMDB; consolidated FinOps (FOCUS-based); quarterly multi-cloud governance review; DR posture per cloud reviewed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2ca" w:space="0" w:sz="4" w:val="single"/>
              <w:left w:color="d9d2ca" w:space="0" w:sz="4" w:val="single"/>
              <w:bottom w:color="d9d2ca" w:space="0" w:sz="4" w:val="single"/>
              <w:right w:color="d9d2ca" w:space="0" w:sz="4" w:val="single"/>
            </w:tcBorders>
            <w:shd w:fill="f5f0ea" w:val="clear"/>
            <w:tcMar>
              <w:top w:w="50.0" w:type="dxa"/>
              <w:left w:w="85.0" w:type="dxa"/>
              <w:bottom w:w="50.0" w:type="dxa"/>
              <w:right w:w="85.0" w:type="dxa"/>
            </w:tcMar>
          </w:tcPr>
          <w:p w:rsidR="00000000" w:rsidDel="00000000" w:rsidP="00000000" w:rsidRDefault="00000000" w:rsidRPr="00000000" w14:paraId="000000AA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12d2a"/>
                <w:sz w:val="18"/>
                <w:szCs w:val="18"/>
                <w:rtl w:val="0"/>
              </w:rPr>
              <w:t xml:space="preserve">KPIs reported per cloud in one pack; no unmanaged estate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Style w:val="Heading1"/>
        <w:spacing w:after="15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74634"/>
          <w:sz w:val="30"/>
          <w:szCs w:val="30"/>
          <w:rtl w:val="0"/>
        </w:rPr>
        <w:t xml:space="preserve">11. Risks and Anti-Patterns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Complexity tax: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every cloud added multiplies audits, skills, patching literacy, and incident paths; the placement policy exists to make each addition earn its keep. Staff for it or don't do it — the JD pattern from the DevOps hire extends (per-cloud depth, shared IaC discipline).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Anti-patterns to refuse: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lift-and-shift of Fusion-adjacent workloads off OCI (MC-03); cloud-local IdPs or synced service accounts; direct cross-cloud private peering sprawl; a second extract pipeline from Fusion; per-cloud governance dialects ('AWS does it differently' is a mapping problem, not an exemption); unregistered cross-cloud flows; 'temporary' stored access keys in pipelines.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0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Cost honesty: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12d2a"/>
          <w:sz w:val="21"/>
          <w:szCs w:val="21"/>
          <w:u w:val="none"/>
          <w:shd w:fill="auto" w:val="clear"/>
          <w:vertAlign w:val="baseline"/>
          <w:rtl w:val="0"/>
        </w:rPr>
        <w:t xml:space="preserve">multi-cloud rarely saves money; it buys capability and leverage. Model egress + duplicated platform overhead (LZ upkeep, SIEM ingestion, interconnect ports) into every placement business case.</w:t>
      </w:r>
    </w:p>
    <w:p w:rsidR="00000000" w:rsidDel="00000000" w:rsidP="00000000" w:rsidRDefault="00000000" w:rsidRPr="00000000" w14:paraId="000000AF">
      <w:pP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6b6560"/>
          <w:sz w:val="19"/>
          <w:szCs w:val="19"/>
          <w:rtl w:val="0"/>
        </w:rPr>
        <w:t xml:space="preserve">Document impact on the pack: Governance Standard gains per-cloud Landing Zone Annexes (same GOV-* IDs); Vol. 6 D9/D10 gain the multi-cloud context frame (D15); Vol. 7 flow register gains cross-cloud sections; HLD decision register gains MC-01..05 and the SIEM closure of D9. The OCI volumes themselves do not change — that is the point of extend-not-fork.</w:t>
      </w:r>
      <w:r w:rsidDel="00000000" w:rsidR="00000000" w:rsidRPr="00000000">
        <w:rPr>
          <w:rtl w:val="0"/>
        </w:rPr>
      </w:r>
    </w:p>
    <w:sectPr>
      <w:pgSz w:h="12240" w:w="15840" w:orient="landscape"/>
      <w:pgMar w:bottom="1000" w:top="1000" w:left="1180" w:right="11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0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312d2a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312d2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