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50" w:before="1100"/>
      </w:pPr>
      <w:r>
        <w:rPr>
          <w:rFonts w:ascii="Calibri" w:cs="Calibri" w:eastAsia="Calibri" w:hAnsi="Calibri"/>
          <w:b/>
          <w:bCs/>
          <w:color w:val="6B6560"/>
          <w:sz w:val="20"/>
          <w:szCs w:val="20"/>
        </w:rPr>
        <w:t xml:space="preserve">OCI SECURITY ARCHITECTURE — IDENTITY</w:t>
      </w:r>
    </w:p>
    <w:p>
      <w:pPr>
        <w:spacing w:after="130"/>
      </w:pPr>
      <w:r>
        <w:rPr>
          <w:rFonts w:ascii="Calibri" w:cs="Calibri" w:eastAsia="Calibri" w:hAnsi="Calibri"/>
          <w:b/>
          <w:bCs/>
          <w:color w:val="C74634"/>
          <w:sz w:val="36"/>
          <w:szCs w:val="36"/>
        </w:rPr>
        <w:t xml:space="preserve">Bridging Microsoft Entra ID with OCI Identity Domains, Oracle Fusion, OIC and ATP</w:t>
      </w:r>
    </w:p>
    <w:p>
      <w:pPr>
        <w:spacing w:after="120"/>
      </w:pPr>
      <w:r>
        <w:rPr>
          <w:rFonts w:ascii="Calibri" w:cs="Calibri" w:eastAsia="Calibri" w:hAnsi="Calibri"/>
          <w:color w:val="312D2A"/>
          <w:sz w:val="24"/>
          <w:szCs w:val="24"/>
        </w:rPr>
        <w:t xml:space="preserve">Best-practice recommendations for a six-environment Fusion estate (Dev1–Dev4, Test, Prod), each with dedicated OIC + ATP.</w:t>
      </w:r>
    </w:p>
    <w:p>
      <w:pPr>
        <w:spacing w:after="11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Author's note on naming: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“OCI IDCS” is the legacy name for what Oracle now calls </w:t>
      </w: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OCI IAM Identity Domains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. This document uses the current term; where you see “identity domain” read it as the successor to IDCS. Each Oracle Fusion pod ships with its own identity domain, and OIC/ATP live in OCI identity domains too — so “bridging Entra to Fusion IDCS and to OIC+ATP” is really about how one corporate IdP federates a set of identity domains.</w:t>
      </w:r>
    </w:p>
    <w:p>
      <w:pPr>
        <w:spacing w:after="300"/>
      </w:pPr>
      <w:r>
        <w:rPr>
          <w:rFonts w:ascii="Calibri" w:cs="Calibri" w:eastAsia="Calibri" w:hAnsi="Calibri"/>
          <w:i/>
          <w:iCs/>
          <w:color w:val="6B6560"/>
          <w:sz w:val="20"/>
          <w:szCs w:val="20"/>
        </w:rPr>
        <w:t xml:space="preserve">Prepared by: OCI Enterprise / Security Architect  |  v1.0 Draft  |  Classification: Internal</w:t>
      </w:r>
    </w:p>
    <w:p>
      <w:r>
        <w:br w:type="page"/>
      </w:r>
    </w:p>
    <w:p>
      <w:pPr>
        <w:pStyle w:val="Heading1"/>
        <w:spacing w:after="150" w:before="300"/>
      </w:pPr>
      <w:r>
        <w:rPr>
          <w:rFonts w:ascii="Calibri" w:cs="Calibri" w:eastAsia="Calibri" w:hAnsi="Calibri"/>
          <w:b/>
          <w:bCs/>
          <w:color w:val="C74634"/>
          <w:sz w:val="29"/>
          <w:szCs w:val="29"/>
        </w:rPr>
        <w:t xml:space="preserve">Contents</w:t>
      </w:r>
    </w:p>
    <w:p>
      <w:pPr>
        <w:spacing w:after="44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1. Executive advice (read this first)</w:t>
      </w:r>
    </w:p>
    <w:p>
      <w:pPr>
        <w:spacing w:after="44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2. The two identity planes — the core model</w:t>
      </w:r>
    </w:p>
    <w:p>
      <w:pPr>
        <w:spacing w:after="44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3. Target federation topology (6 environments)</w:t>
      </w:r>
    </w:p>
    <w:p>
      <w:pPr>
        <w:spacing w:after="44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4. Bridge 1 — Entra ID to the OCI Identity Domain (human SSO)</w:t>
      </w:r>
    </w:p>
    <w:p>
      <w:pPr>
        <w:spacing w:after="44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5. Bridge 2 — Identity Domain to Oracle Fusion</w:t>
      </w:r>
    </w:p>
    <w:p>
      <w:pPr>
        <w:spacing w:after="44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6. Bridge 3 — OIC (console SSO + OAuth2 to Fusion)</w:t>
      </w:r>
    </w:p>
    <w:p>
      <w:pPr>
        <w:spacing w:after="44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7. Bridge 4 — ATP (human DB auth + service credentials)</w:t>
      </w:r>
    </w:p>
    <w:p>
      <w:pPr>
        <w:spacing w:after="44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8. Environment isolation and blast-radius model</w:t>
      </w:r>
    </w:p>
    <w:p>
      <w:pPr>
        <w:spacing w:after="44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9. Security controls and guardrails</w:t>
      </w:r>
    </w:p>
    <w:p>
      <w:pPr>
        <w:spacing w:after="44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10. Recommendations summary (do / avoid)</w:t>
      </w:r>
    </w:p>
    <w:p>
      <w:pPr>
        <w:spacing w:after="44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11. Build sequence (high level)</w:t>
      </w:r>
    </w:p>
    <w:p>
      <w:pPr>
        <w:spacing w:after="44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Appendix A — Naming conventions</w:t>
      </w:r>
    </w:p>
    <w:p>
      <w:pPr>
        <w:spacing w:after="44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Appendix B — OAuth scopes and group model</w:t>
      </w:r>
    </w:p>
    <w:p>
      <w:r>
        <w:br w:type="page"/>
      </w:r>
    </w:p>
    <w:p>
      <w:pPr>
        <w:pStyle w:val="Heading1"/>
        <w:spacing w:after="150" w:before="300"/>
      </w:pPr>
      <w:r>
        <w:rPr>
          <w:rFonts w:ascii="Calibri" w:cs="Calibri" w:eastAsia="Calibri" w:hAnsi="Calibri"/>
          <w:b/>
          <w:bCs/>
          <w:color w:val="C74634"/>
          <w:sz w:val="29"/>
          <w:szCs w:val="29"/>
        </w:rPr>
        <w:t xml:space="preserve">1. Executive Advice (Read This First)</w:t>
      </w:r>
    </w:p>
    <w:p>
      <w:pPr>
        <w:spacing w:after="13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Ten recommendations, in priority order, for federating Microsoft Entra ID across your six Fusion environments and their dedicated OIC + ATP:</w:t>
      </w:r>
    </w:p>
    <w:p>
      <w:pPr>
        <w:pStyle w:val="ListParagraph"/>
        <w:numPr>
          <w:ilvl w:val="0"/>
          <w:numId w:val="2"/>
        </w:numPr>
        <w:spacing w:after="65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Separate the two planes.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Human sign-in (SAML/OIDC, Entra in the path) and machine-to-machine (OAuth2/mTLS, Entra NOT in the path) are different problems. Design and operate them independently. This is the single most important decision — see §2.</w:t>
      </w:r>
    </w:p>
    <w:p>
      <w:pPr>
        <w:pStyle w:val="ListParagraph"/>
        <w:numPr>
          <w:ilvl w:val="0"/>
          <w:numId w:val="2"/>
        </w:numPr>
        <w:spacing w:after="65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One identity domain per environment.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Federate Dev1, Dev2, Dev3, Dev4, Test and Prod as six separate identity domains. Separate blast radius, separate Conditional Access, separate certificate rotation, per-environment audit.</w:t>
      </w:r>
    </w:p>
    <w:p>
      <w:pPr>
        <w:pStyle w:val="ListParagraph"/>
        <w:numPr>
          <w:ilvl w:val="0"/>
          <w:numId w:val="2"/>
        </w:numPr>
        <w:spacing w:after="65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One Entra enterprise app per domain.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The Entra SAML issuer (https://sts.windows.net/&lt;tenant&gt;/) is the same for every app in your tenant, and OCI requires that issuer to be unique within a domain. So a domain holds exactly ONE Entra IdP; give each domain its own enterprise app. Never add a second Entra IdP to one domain.</w:t>
      </w:r>
    </w:p>
    <w:p>
      <w:pPr>
        <w:pStyle w:val="ListParagraph"/>
        <w:numPr>
          <w:ilvl w:val="0"/>
          <w:numId w:val="2"/>
        </w:numPr>
        <w:spacing w:after="65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Keep the Default domain out of federation.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Use it only for two vaulted, MFA-enrolled, alarmed break-glass admins. Every federated login goes to the workforce/per-environment domains.</w:t>
      </w:r>
    </w:p>
    <w:p>
      <w:pPr>
        <w:pStyle w:val="ListParagraph"/>
        <w:numPr>
          <w:ilvl w:val="0"/>
          <w:numId w:val="2"/>
        </w:numPr>
        <w:spacing w:after="65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Provision with SCIM; source workers from HCM.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Turn JIT off; let SCIM push only assigned users/groups. For workers, HCM is the source of record → Entra → SCIM → domain. Machine identities are provisioned directly as confidential apps, not from HCM.</w:t>
      </w:r>
    </w:p>
    <w:p>
      <w:pPr>
        <w:pStyle w:val="ListParagraph"/>
        <w:numPr>
          <w:ilvl w:val="0"/>
          <w:numId w:val="2"/>
        </w:numPr>
        <w:spacing w:after="65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OIC→Fusion is OAuth2, not a password.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Register a confidential OAuth2 application in the same domain and call Fusion REST/SOAP with client-credentials (or JWT for user context). No basic-auth service users where OAuth is available.</w:t>
      </w:r>
    </w:p>
    <w:p>
      <w:pPr>
        <w:pStyle w:val="ListParagraph"/>
        <w:numPr>
          <w:ilvl w:val="0"/>
          <w:numId w:val="2"/>
        </w:numPr>
        <w:spacing w:after="65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ATP: IAM database authentication for humans, Vault for services.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Human DBAs authenticate to ATP through the federated identity domain (IAM DB auth); application/OIC access uses an mTLS wallet + least-privileged DB account with the wallet and credential in OCI Vault.</w:t>
      </w:r>
    </w:p>
    <w:p>
      <w:pPr>
        <w:pStyle w:val="ListParagraph"/>
        <w:numPr>
          <w:ilvl w:val="0"/>
          <w:numId w:val="2"/>
        </w:numPr>
        <w:spacing w:after="65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Secrets live in OCI Vault with customer-managed keys.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OAuth client secrets, signing keys, ATP wallets and TLS certs — all in Vault, 90-day rotation, read at runtime via resource principal / dynamic group. Nothing in cleartext in OIC connections.</w:t>
      </w:r>
    </w:p>
    <w:p>
      <w:pPr>
        <w:pStyle w:val="ListParagraph"/>
        <w:numPr>
          <w:ilvl w:val="0"/>
          <w:numId w:val="2"/>
        </w:numPr>
        <w:spacing w:after="65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Harden Prod differently from Dev.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Strict Conditional Access (compliant device + MFA, block legacy auth) and PIM-eligible admin roles on Prod and any platform domain; baseline MFA on non-prod.</w:t>
      </w:r>
    </w:p>
    <w:p>
      <w:pPr>
        <w:pStyle w:val="ListParagraph"/>
        <w:numPr>
          <w:ilvl w:val="0"/>
          <w:numId w:val="2"/>
        </w:numPr>
        <w:spacing w:after="65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Remember what federation does NOT do.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Entra/OCI federation governs who can SIGN IN. It never controls who can see a Fusion invoice, worker record or ledger — that is Fusion application security (job/duty/data roles, SoD), a separate plane with a separate owner.</w:t>
      </w:r>
    </w:p>
    <w:p>
      <w:r>
        <w:br w:type="page"/>
      </w:r>
    </w:p>
    <w:p>
      <w:pPr>
        <w:pStyle w:val="Heading1"/>
        <w:spacing w:after="150" w:before="300"/>
      </w:pPr>
      <w:r>
        <w:rPr>
          <w:rFonts w:ascii="Calibri" w:cs="Calibri" w:eastAsia="Calibri" w:hAnsi="Calibri"/>
          <w:b/>
          <w:bCs/>
          <w:color w:val="C74634"/>
          <w:sz w:val="29"/>
          <w:szCs w:val="29"/>
        </w:rPr>
        <w:t xml:space="preserve">2. The Two Identity Planes — The Core Model</w:t>
      </w:r>
    </w:p>
    <w:p>
      <w:pPr>
        <w:spacing w:after="13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Everything in this design follows from one distinction. When you “bridge Entra to Fusion, OIC and ATP” you are really building two separate bridges that happen to share an environment.</w:t>
      </w:r>
    </w:p>
    <w:tbl>
      <w:tblPr>
        <w:tblW w:type="dxa" w:w="9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3900"/>
        <w:gridCol w:w="3900"/>
      </w:tblGrid>
      <w:tr>
        <w:trPr>
          <w:tblHeader/>
        </w:trPr>
        <w:tc>
          <w:tcPr>
            <w:tcW w:type="dxa" w:w="15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Aspect</w:t>
            </w:r>
          </w:p>
        </w:tc>
        <w:tc>
          <w:tcPr>
            <w:tcW w:type="dxa" w:w="3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Human plane (SAML / OIDC)</w:t>
            </w:r>
          </w:p>
        </w:tc>
        <w:tc>
          <w:tcPr>
            <w:tcW w:type="dxa" w:w="3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Machine plane (OAuth2 / mTLS)</w:t>
            </w:r>
          </w:p>
        </w:tc>
      </w:tr>
      <w:tr>
        <w:tc>
          <w:tcPr>
            <w:tcW w:type="dxa" w:w="15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Who / what</w:t>
            </w:r>
          </w:p>
        </w:tc>
        <w:tc>
          <w:tcPr>
            <w:tcW w:type="dxa" w:w="3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Employees, partners, admins signing in interactively</w:t>
            </w:r>
          </w:p>
        </w:tc>
        <w:tc>
          <w:tcPr>
            <w:tcW w:type="dxa" w:w="3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OIC integrations, batch jobs, service accounts</w:t>
            </w:r>
          </w:p>
        </w:tc>
      </w:tr>
      <w:tr>
        <w:tc>
          <w:tcPr>
            <w:tcW w:type="dxa" w:w="15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Protocol</w:t>
            </w:r>
          </w:p>
        </w:tc>
        <w:tc>
          <w:tcPr>
            <w:tcW w:type="dxa" w:w="3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SAML 2.0 (or OIDC) via the identity domain's IdP</w:t>
            </w:r>
          </w:p>
        </w:tc>
        <w:tc>
          <w:tcPr>
            <w:tcW w:type="dxa" w:w="3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OAuth2 client-credentials / JWT; mTLS for DB</w:t>
            </w:r>
          </w:p>
        </w:tc>
      </w:tr>
      <w:tr>
        <w:tc>
          <w:tcPr>
            <w:tcW w:type="dxa" w:w="15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Is Entra in the path?</w:t>
            </w:r>
          </w:p>
        </w:tc>
        <w:tc>
          <w:tcPr>
            <w:tcW w:type="dxa" w:w="3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Yes — Entra is the IdP; MFA/CA/PIM apply</w:t>
            </w:r>
          </w:p>
        </w:tc>
        <w:tc>
          <w:tcPr>
            <w:tcW w:type="dxa" w:w="3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No — tokens are issued by the domain / DB; Entra is not called at runtime</w:t>
            </w:r>
          </w:p>
        </w:tc>
      </w:tr>
      <w:tr>
        <w:tc>
          <w:tcPr>
            <w:tcW w:type="dxa" w:w="15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Reaches</w:t>
            </w:r>
          </w:p>
        </w:tc>
        <w:tc>
          <w:tcPr>
            <w:tcW w:type="dxa" w:w="3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Fusion UI, OIC console, OAC, OCI Console, ATP admin</w:t>
            </w:r>
          </w:p>
        </w:tc>
        <w:tc>
          <w:tcPr>
            <w:tcW w:type="dxa" w:w="3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Fusion REST/SOAP APIs, ATP data (1522)</w:t>
            </w:r>
          </w:p>
        </w:tc>
      </w:tr>
      <w:tr>
        <w:tc>
          <w:tcPr>
            <w:tcW w:type="dxa" w:w="15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Credential store</w:t>
            </w:r>
          </w:p>
        </w:tc>
        <w:tc>
          <w:tcPr>
            <w:tcW w:type="dxa" w:w="3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Entra (federated); domain groups → roles</w:t>
            </w:r>
          </w:p>
        </w:tc>
        <w:tc>
          <w:tcPr>
            <w:tcW w:type="dxa" w:w="3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OCI Vault (client secret, wallet, keys)</w:t>
            </w:r>
          </w:p>
        </w:tc>
      </w:tr>
      <w:tr>
        <w:tc>
          <w:tcPr>
            <w:tcW w:type="dxa" w:w="15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Failure behaviour</w:t>
            </w:r>
          </w:p>
        </w:tc>
        <w:tc>
          <w:tcPr>
            <w:tcW w:type="dxa" w:w="3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If Entra/federation down, SSO pauses (break-glass still works)</w:t>
            </w:r>
          </w:p>
        </w:tc>
        <w:tc>
          <w:tcPr>
            <w:tcW w:type="dxa" w:w="3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Keeps running — does not depend on Entra</w:t>
            </w:r>
          </w:p>
        </w:tc>
      </w:tr>
      <w:tr>
        <w:tc>
          <w:tcPr>
            <w:tcW w:type="dxa" w:w="15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Owner</w:t>
            </w:r>
          </w:p>
        </w:tc>
        <w:tc>
          <w:tcPr>
            <w:tcW w:type="dxa" w:w="3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Identity / platform team</w:t>
            </w:r>
          </w:p>
        </w:tc>
        <w:tc>
          <w:tcPr>
            <w:tcW w:type="dxa" w:w="39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Integration + platform team</w:t>
            </w:r>
          </w:p>
        </w:tc>
      </w:tr>
    </w:tbl>
    <w:p>
      <w:pPr>
        <w:pBdr>
          <w:top w:val="single" w:color="3E7C7B" w:sz="6"/>
          <w:bottom w:val="single" w:color="3E7C7B" w:sz="6"/>
          <w:left w:val="single" w:color="3E7C7B" w:sz="6"/>
          <w:right w:val="single" w:color="3E7C7B" w:sz="6"/>
        </w:pBdr>
        <w:shd w:fill="EAF1F0" w:val="clear"/>
        <w:spacing w:after="120" w:before="80"/>
      </w:pPr>
      <w:r>
        <w:rPr>
          <w:rFonts w:ascii="Calibri" w:cs="Calibri" w:eastAsia="Calibri" w:hAnsi="Calibri"/>
          <w:b/>
          <w:bCs/>
          <w:color w:val="3E7C7B"/>
          <w:sz w:val="21"/>
          <w:szCs w:val="21"/>
        </w:rPr>
        <w:t xml:space="preserve">Consequence.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Because the machine plane does not depend on Entra, an Entra outage or a federation change never stops your integrations — provided you did not shortcut OIC→Fusion with a human federated account. That is why service-to-service must be OAuth2/mTLS, never a person's SSO identity.</w:t>
      </w:r>
    </w:p>
    <w:p>
      <w:r>
        <w:br w:type="page"/>
      </w:r>
    </w:p>
    <w:p>
      <w:pPr>
        <w:pStyle w:val="Heading1"/>
        <w:spacing w:after="150" w:before="300"/>
      </w:pPr>
      <w:r>
        <w:rPr>
          <w:rFonts w:ascii="Calibri" w:cs="Calibri" w:eastAsia="Calibri" w:hAnsi="Calibri"/>
          <w:b/>
          <w:bCs/>
          <w:color w:val="C74634"/>
          <w:sz w:val="29"/>
          <w:szCs w:val="29"/>
        </w:rPr>
        <w:t xml:space="preserve">3. Target Federation Topology (6 Environments)</w:t>
      </w:r>
    </w:p>
    <w:p>
      <w:pPr>
        <w:spacing w:after="130"/>
      </w:pPr>
      <w:r>
        <w:rPr>
          <w:rFonts w:ascii="Calibri" w:cs="Calibri" w:eastAsia="Calibri" w:hAnsi="Calibri"/>
          <w:color w:val="312D2A"/>
          <w:sz w:val="20"/>
          <w:szCs w:val="20"/>
        </w:rPr>
        <w:t xml:space="preserve">One Entra enterprise app per OCI identity domain; one identity domain per Fusion environment. Human SSO flows over SAML; users/groups arrive by SCIM. The machine plane (OAuth2/mTLS) sits underneath, per environment, with secrets in Vault.</w:t>
      </w:r>
    </w:p>
    <w:p>
      <w:pPr>
        <w:spacing w:after="120" w:before="40"/>
        <w:jc w:val="center"/>
      </w:pPr>
      <w:r>
        <w:drawing>
          <wp:inline distT="0" distB="0" distL="0" distR="0">
            <wp:extent cx="6286500" cy="36385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30"/>
      </w:pPr>
      <w:r>
        <w:rPr>
          <w:rFonts w:ascii="Calibri" w:cs="Calibri" w:eastAsia="Calibri" w:hAnsi="Calibri"/>
          <w:i/>
          <w:iCs/>
          <w:color w:val="6B6560"/>
          <w:sz w:val="19"/>
          <w:szCs w:val="19"/>
        </w:rPr>
        <w:t xml:space="preserve">Diagram D-IDB1 — macro topology. Each of the six subscriptions (Dev1–Dev4, Test, Prod) is federated in its own domain; Prod additionally carries strict Conditional Access and PIM. Break-glass is local and excluded from federation.</w:t>
      </w:r>
    </w:p>
    <w:p>
      <w:r>
        <w:br w:type="page"/>
      </w:r>
    </w:p>
    <w:p>
      <w:pPr>
        <w:pStyle w:val="Heading1"/>
        <w:spacing w:after="150" w:before="300"/>
      </w:pPr>
      <w:r>
        <w:rPr>
          <w:rFonts w:ascii="Calibri" w:cs="Calibri" w:eastAsia="Calibri" w:hAnsi="Calibri"/>
          <w:b/>
          <w:bCs/>
          <w:color w:val="C74634"/>
          <w:sz w:val="29"/>
          <w:szCs w:val="29"/>
        </w:rPr>
        <w:t xml:space="preserve">4. Bridge 1 — Entra ID to the OCI Identity Domain (Human SSO)</w:t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6B6560"/>
          <w:sz w:val="22"/>
          <w:szCs w:val="22"/>
        </w:rPr>
        <w:t xml:space="preserve">4.1 SAML federation, per domain</w:t>
      </w:r>
    </w:p>
    <w:p>
      <w:pPr>
        <w:pStyle w:val="ListParagraph"/>
        <w:numPr>
          <w:ilvl w:val="0"/>
          <w:numId w:val="3"/>
        </w:numPr>
        <w:spacing w:after="55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In each domain (DOM-DEV1 … DOM-PROD): Security ▸ Identity providers ▸ Add SAML IdP; import the metadata of that domain's own Entra enterprise app (</w:t>
      </w:r>
      <w:r>
        <w:rPr>
          <w:rFonts w:ascii="Consolas" w:cs="Consolas" w:eastAsia="Consolas" w:hAnsi="Consolas"/>
          <w:color w:val="5A4634"/>
          <w:sz w:val="18"/>
          <w:szCs w:val="18"/>
        </w:rPr>
        <w:t xml:space="preserve">CB-OCI-&lt;ENV&gt;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). Enable signed requests + assertions (SHA-256); NameID = </w:t>
      </w:r>
      <w:r>
        <w:rPr>
          <w:rFonts w:ascii="Consolas" w:cs="Consolas" w:eastAsia="Consolas" w:hAnsi="Consolas"/>
          <w:color w:val="5A4634"/>
          <w:sz w:val="18"/>
          <w:szCs w:val="18"/>
        </w:rPr>
        <w:t xml:space="preserve">userPrincipalName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 (email format).</w:t>
      </w:r>
    </w:p>
    <w:p>
      <w:pPr>
        <w:pStyle w:val="ListParagraph"/>
        <w:numPr>
          <w:ilvl w:val="0"/>
          <w:numId w:val="3"/>
        </w:numPr>
        <w:spacing w:after="55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Set the domain sign-on policy default rule to delegate to the Entra IdP and require MFA.</w:t>
      </w:r>
    </w:p>
    <w:p>
      <w:pPr>
        <w:pStyle w:val="ListParagraph"/>
        <w:numPr>
          <w:ilvl w:val="0"/>
          <w:numId w:val="3"/>
        </w:numPr>
        <w:spacing w:after="55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Confirm the issuer registers cleanly. If OCI reports </w:t>
      </w:r>
      <w:r>
        <w:rPr>
          <w:rFonts w:ascii="Calibri" w:cs="Calibri" w:eastAsia="Calibri" w:hAnsi="Calibri"/>
          <w:i/>
          <w:iCs/>
          <w:color w:val="312D2A"/>
          <w:sz w:val="21"/>
          <w:szCs w:val="21"/>
        </w:rPr>
        <w:t xml:space="preserve">“Provider ID already exists”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, a domain already has an Entra IdP with that issuer — UPDATE it, do not add a second (the issuer is per-tenant, identical across apps).</w:t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6B6560"/>
          <w:sz w:val="22"/>
          <w:szCs w:val="22"/>
        </w:rPr>
        <w:t xml:space="preserve">4.2 SCIM provisioning and source of record</w:t>
      </w:r>
    </w:p>
    <w:p>
      <w:pPr>
        <w:pStyle w:val="ListParagraph"/>
        <w:numPr>
          <w:ilvl w:val="0"/>
          <w:numId w:val="3"/>
        </w:numPr>
        <w:spacing w:after="55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Enable automatic provisioning on the same Entra enterprise app; tenant URL = the domain SCIM endpoint; secret token stored in Vault. Scope = sync only assigned users and groups; JIT off.</w:t>
      </w:r>
    </w:p>
    <w:p>
      <w:pPr>
        <w:pStyle w:val="ListParagraph"/>
        <w:numPr>
          <w:ilvl w:val="0"/>
          <w:numId w:val="3"/>
        </w:numPr>
        <w:spacing w:after="55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Source of record: HCM (workers) → Entra → SCIM → domain. Joiner/mover/leaver is driven from HCM/Entra; a test de-provision must deactivate in the domain within one cycle.</w:t>
      </w:r>
    </w:p>
    <w:p>
      <w:pPr>
        <w:pStyle w:val="ListParagraph"/>
        <w:numPr>
          <w:ilvl w:val="0"/>
          <w:numId w:val="3"/>
        </w:numPr>
        <w:spacing w:after="55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Map Entra security groups to domain groups (arrive as OCI-*), then to application roles (OIC ServiceInvoker/ServiceAdministrator, OAC, Console).</w:t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6B6560"/>
          <w:sz w:val="22"/>
          <w:szCs w:val="22"/>
        </w:rPr>
        <w:t xml:space="preserve">4.3 Conditional Access, MFA, PIM</w:t>
      </w:r>
    </w:p>
    <w:p>
      <w:pPr>
        <w:pStyle w:val="ListParagraph"/>
        <w:numPr>
          <w:ilvl w:val="0"/>
          <w:numId w:val="3"/>
        </w:numPr>
        <w:spacing w:after="55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MFA everywhere. Non-prod = baseline CA (MFA). Prod + any platform domain = strict CA (MFA + compliant/hybrid-joined device, block legacy auth) and PIM-eligible admin groups (activation with approval + justification).</w:t>
      </w:r>
    </w:p>
    <w:p>
      <w:pPr>
        <w:pStyle w:val="ListParagraph"/>
        <w:numPr>
          <w:ilvl w:val="0"/>
          <w:numId w:val="3"/>
        </w:numPr>
        <w:spacing w:after="55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Assignment required = Yes on every enterprise app; only that environment's groups are assigned — an unassigned user is refused at Entra before reaching OCI.</w:t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6B6560"/>
          <w:sz w:val="22"/>
          <w:szCs w:val="22"/>
        </w:rPr>
        <w:t xml:space="preserve">4.4 Break-glass</w:t>
      </w:r>
    </w:p>
    <w:p>
      <w:pPr>
        <w:pStyle w:val="ListParagraph"/>
        <w:numPr>
          <w:ilvl w:val="0"/>
          <w:numId w:val="3"/>
        </w:numPr>
        <w:spacing w:after="55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Two local admins in the Default domain (or a dedicated break-glass domain), excluded from federation, ≥24-char vaulted passwords, MFA, and an alarm on every successful login (see §9). Proven working before and after any federation change.</w:t>
      </w:r>
    </w:p>
    <w:p>
      <w:r>
        <w:br w:type="page"/>
      </w:r>
    </w:p>
    <w:p>
      <w:pPr>
        <w:pStyle w:val="Heading1"/>
        <w:spacing w:after="150" w:before="300"/>
      </w:pPr>
      <w:r>
        <w:rPr>
          <w:rFonts w:ascii="Calibri" w:cs="Calibri" w:eastAsia="Calibri" w:hAnsi="Calibri"/>
          <w:b/>
          <w:bCs/>
          <w:color w:val="C74634"/>
          <w:sz w:val="29"/>
          <w:szCs w:val="29"/>
        </w:rPr>
        <w:t xml:space="preserve">5. Bridge 2 — Identity Domain to Oracle Fusion</w:t>
      </w:r>
    </w:p>
    <w:p>
      <w:pPr>
        <w:spacing w:after="130"/>
      </w:pPr>
      <w:r>
        <w:rPr>
          <w:rFonts w:ascii="Calibri" w:cs="Calibri" w:eastAsia="Calibri" w:hAnsi="Calibri"/>
          <w:color w:val="312D2A"/>
          <w:sz w:val="20"/>
          <w:szCs w:val="20"/>
        </w:rPr>
        <w:t xml:space="preserve">Each Fusion pod is associated with an identity domain. Once that domain is federated to Entra (Bridge 1), Fusion SSO for humans follows automatically: a user hits the Fusion URL, is redirected to the domain, which delegates to Entra, MFA is enforced, and the user lands in Fusion with the roles their groups grant.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Human SSO.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Fusion UI sign-in uses the domain's SAML IdP (Entra). No separate Fusion-side IdP configuration beyond associating the pod with the federated domain and confirming NameID = userPrincipalName.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Fusion application security stays separate.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OCI/Entra decide IF a person can sign in; Fusion job/duty/data roles, security profiles, data access sets and SoD decide WHAT they can do. Keep this workstream and its owner distinct from the platform identity work.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Provisioning to Fusion.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Worker accounts originate in HCM; do not double-provision the same humans into Fusion by a second path. For non-worker/partner access, provision through the same Entra→SCIM chain into the environment's groups.</w:t>
      </w:r>
    </w:p>
    <w:p>
      <w:pPr>
        <w:pBdr>
          <w:top w:val="single" w:color="8A6D1D" w:sz="6"/>
          <w:bottom w:val="single" w:color="8A6D1D" w:sz="6"/>
          <w:left w:val="single" w:color="8A6D1D" w:sz="6"/>
          <w:right w:val="single" w:color="8A6D1D" w:sz="6"/>
        </w:pBdr>
        <w:shd w:fill="FBF3E3" w:val="clear"/>
        <w:spacing w:after="120" w:before="80"/>
      </w:pPr>
      <w:r>
        <w:rPr>
          <w:rFonts w:ascii="Calibri" w:cs="Calibri" w:eastAsia="Calibri" w:hAnsi="Calibri"/>
          <w:b/>
          <w:bCs/>
          <w:color w:val="8A6D1D"/>
          <w:sz w:val="21"/>
          <w:szCs w:val="21"/>
        </w:rPr>
        <w:t xml:space="preserve">Pod ↔ domain binding.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The exact mechanism to associate a Fusion pod with a specific (federated) identity domain varies by pod generation. Confirm with Oracle Support for your pods before cutover, and treat re-pointing a pod's SSO as a change with a fall-back to the previously working IdP metadata.</w:t>
      </w:r>
    </w:p>
    <w:p>
      <w:r>
        <w:br w:type="page"/>
      </w:r>
    </w:p>
    <w:p>
      <w:pPr>
        <w:pStyle w:val="Heading1"/>
        <w:spacing w:after="150" w:before="300"/>
      </w:pPr>
      <w:r>
        <w:rPr>
          <w:rFonts w:ascii="Calibri" w:cs="Calibri" w:eastAsia="Calibri" w:hAnsi="Calibri"/>
          <w:b/>
          <w:bCs/>
          <w:color w:val="C74634"/>
          <w:sz w:val="29"/>
          <w:szCs w:val="29"/>
        </w:rPr>
        <w:t xml:space="preserve">6. Bridge 3 — OIC (Console SSO + OAuth2 to Fusion)</w:t>
      </w:r>
    </w:p>
    <w:p>
      <w:pPr>
        <w:spacing w:after="120" w:before="40"/>
        <w:jc w:val="center"/>
      </w:pPr>
      <w:r>
        <w:drawing>
          <wp:inline distT="0" distB="0" distL="0" distR="0">
            <wp:extent cx="6286500" cy="3581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30"/>
      </w:pPr>
      <w:r>
        <w:rPr>
          <w:rFonts w:ascii="Calibri" w:cs="Calibri" w:eastAsia="Calibri" w:hAnsi="Calibri"/>
          <w:i/>
          <w:iCs/>
          <w:color w:val="6B6560"/>
          <w:sz w:val="19"/>
          <w:szCs w:val="19"/>
        </w:rPr>
        <w:t xml:space="preserve">Diagram D-IDB2 — the two planes for one subscription. Repeat per environment.</w:t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6B6560"/>
          <w:sz w:val="22"/>
          <w:szCs w:val="22"/>
        </w:rPr>
        <w:t xml:space="preserve">6.1 OIC console (human plane)</w:t>
      </w:r>
    </w:p>
    <w:p>
      <w:pPr>
        <w:pStyle w:val="ListParagraph"/>
        <w:numPr>
          <w:ilvl w:val="0"/>
          <w:numId w:val="3"/>
        </w:numPr>
        <w:spacing w:after="55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OIC console sign-in uses the environment's identity domain (Entra-federated). Gate OIC roles by domain group: ServiceDeveloper in Dev, ServiceAdministrator/Deployer promotion in Test/Prod.</w:t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6B6560"/>
          <w:sz w:val="22"/>
          <w:szCs w:val="22"/>
        </w:rPr>
        <w:t xml:space="preserve">6.2 OIC to Fusion (machine plane) — the important one</w:t>
      </w:r>
    </w:p>
    <w:p>
      <w:pPr>
        <w:pStyle w:val="ListParagraph"/>
        <w:numPr>
          <w:ilvl w:val="0"/>
          <w:numId w:val="3"/>
        </w:numPr>
        <w:spacing w:after="55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Register a </w:t>
      </w: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confidential OAuth2 application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 in the same identity domain as the environment; create a service identity </w:t>
      </w:r>
      <w:r>
        <w:rPr>
          <w:rFonts w:ascii="Consolas" w:cs="Consolas" w:eastAsia="Consolas" w:hAnsi="Consolas"/>
          <w:color w:val="5A4634"/>
          <w:sz w:val="18"/>
          <w:szCs w:val="18"/>
        </w:rPr>
        <w:t xml:space="preserve">svc-oic-&lt;env&gt;-fusion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.</w:t>
      </w:r>
    </w:p>
    <w:p>
      <w:pPr>
        <w:pStyle w:val="ListParagraph"/>
        <w:numPr>
          <w:ilvl w:val="0"/>
          <w:numId w:val="3"/>
        </w:numPr>
        <w:spacing w:after="55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OIC calls Fusion REST/SOAP with OAuth2 client-credentials (2-legged) for system-to-system, or JWT/3-legged where a specific user context is required. Grant only the Fusion scopes needed (Appendix B).</w:t>
      </w:r>
    </w:p>
    <w:p>
      <w:pPr>
        <w:pStyle w:val="ListParagraph"/>
        <w:numPr>
          <w:ilvl w:val="0"/>
          <w:numId w:val="3"/>
        </w:numPr>
        <w:spacing w:after="55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Store the client secret / signing key in OCI Vault; OIC reads it at runtime via resource principal / dynamic group. Rotate every 90 days. Avoid basic-auth service accounts unless a specific API has no OAuth option (document as an exception).</w:t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6B6560"/>
          <w:sz w:val="22"/>
          <w:szCs w:val="22"/>
        </w:rPr>
        <w:t xml:space="preserve">6.3 OIC connectivity and files</w:t>
      </w:r>
    </w:p>
    <w:p>
      <w:pPr>
        <w:pStyle w:val="ListParagraph"/>
        <w:numPr>
          <w:ilvl w:val="0"/>
          <w:numId w:val="3"/>
        </w:numPr>
        <w:spacing w:after="55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The OIC connectivity agent bridges private endpoints; SFTP/file exchange uses SSH keys pinned to named counterparties. These are machine-plane credentials — also in Vault, also rotated.</w:t>
      </w:r>
    </w:p>
    <w:p>
      <w:r>
        <w:br w:type="page"/>
      </w:r>
    </w:p>
    <w:p>
      <w:pPr>
        <w:pStyle w:val="Heading1"/>
        <w:spacing w:after="150" w:before="300"/>
      </w:pPr>
      <w:r>
        <w:rPr>
          <w:rFonts w:ascii="Calibri" w:cs="Calibri" w:eastAsia="Calibri" w:hAnsi="Calibri"/>
          <w:b/>
          <w:bCs/>
          <w:color w:val="C74634"/>
          <w:sz w:val="29"/>
          <w:szCs w:val="29"/>
        </w:rPr>
        <w:t xml:space="preserve">7. Bridge 4 — ATP (Human DB Auth + Service Credentials)</w:t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6B6560"/>
          <w:sz w:val="22"/>
          <w:szCs w:val="22"/>
        </w:rPr>
        <w:t xml:space="preserve">7.1 Human database access</w:t>
      </w:r>
    </w:p>
    <w:p>
      <w:pPr>
        <w:pStyle w:val="ListParagraph"/>
        <w:numPr>
          <w:ilvl w:val="0"/>
          <w:numId w:val="3"/>
        </w:numPr>
        <w:spacing w:after="55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Use </w:t>
      </w: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IAM database authentication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: human DBAs authenticate to ATP with their federated OCI identity (from the Entra-federated domain) and a short-lived DB token — no shared local DB passwords. Map OCI groups to ATP DB roles.</w:t>
      </w:r>
    </w:p>
    <w:p>
      <w:pPr>
        <w:pStyle w:val="ListParagraph"/>
        <w:numPr>
          <w:ilvl w:val="0"/>
          <w:numId w:val="3"/>
        </w:numPr>
        <w:spacing w:after="55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This gives you one identity lifecycle (Entra → domain → ATP) and one place to revoke: disable the person in Entra and their DB access follows.</w:t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6B6560"/>
          <w:sz w:val="22"/>
          <w:szCs w:val="22"/>
        </w:rPr>
        <w:t xml:space="preserve">7.2 Application / OIC access</w:t>
      </w:r>
    </w:p>
    <w:p>
      <w:pPr>
        <w:pStyle w:val="ListParagraph"/>
        <w:numPr>
          <w:ilvl w:val="0"/>
          <w:numId w:val="3"/>
        </w:numPr>
        <w:spacing w:after="55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Applications and OIC connect with an </w:t>
      </w: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mTLS wallet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 and a least-privileged DB service account; the wallet and credential live in OCI Vault. Do not embed wallets in images or repos.</w:t>
      </w:r>
    </w:p>
    <w:p>
      <w:pPr>
        <w:pStyle w:val="ListParagraph"/>
        <w:numPr>
          <w:ilvl w:val="0"/>
          <w:numId w:val="3"/>
        </w:numPr>
        <w:spacing w:after="55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ATP on a private endpoint in the app-processing subnet; NSG allows 1522 only from the OIC/app subnet. The database initiates nothing outbound.</w:t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6B6560"/>
          <w:sz w:val="22"/>
          <w:szCs w:val="22"/>
        </w:rPr>
        <w:t xml:space="preserve">7.3 Encryption and keys</w:t>
      </w:r>
    </w:p>
    <w:p>
      <w:pPr>
        <w:pStyle w:val="ListParagraph"/>
        <w:numPr>
          <w:ilvl w:val="0"/>
          <w:numId w:val="3"/>
        </w:numPr>
        <w:spacing w:after="55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TDE with customer-managed keys from the environment's Vault; restrict key/vault administration to the security group; key deletion is irreversible and board-approved.</w:t>
      </w:r>
    </w:p>
    <w:p>
      <w:pPr>
        <w:pBdr>
          <w:top w:val="single" w:color="3E7C7B" w:sz="6"/>
          <w:bottom w:val="single" w:color="3E7C7B" w:sz="6"/>
          <w:left w:val="single" w:color="3E7C7B" w:sz="6"/>
          <w:right w:val="single" w:color="3E7C7B" w:sz="6"/>
        </w:pBdr>
        <w:shd w:fill="EAF1F0" w:val="clear"/>
        <w:spacing w:after="120" w:before="80"/>
      </w:pPr>
      <w:r>
        <w:rPr>
          <w:rFonts w:ascii="Calibri" w:cs="Calibri" w:eastAsia="Calibri" w:hAnsi="Calibri"/>
          <w:b/>
          <w:bCs/>
          <w:color w:val="3E7C7B"/>
          <w:sz w:val="21"/>
          <w:szCs w:val="21"/>
        </w:rPr>
        <w:t xml:space="preserve">Guard-rail.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ATP here is for OIC staging, custom/partner persistence and integration cross-reference data — never a Fusion backing store, and no bulk replication of Fusion transactional data outside FDI.</w:t>
      </w:r>
    </w:p>
    <w:p>
      <w:r>
        <w:br w:type="page"/>
      </w:r>
    </w:p>
    <w:p>
      <w:pPr>
        <w:pStyle w:val="Heading1"/>
        <w:spacing w:after="150" w:before="300"/>
      </w:pPr>
      <w:r>
        <w:rPr>
          <w:rFonts w:ascii="Calibri" w:cs="Calibri" w:eastAsia="Calibri" w:hAnsi="Calibri"/>
          <w:b/>
          <w:bCs/>
          <w:color w:val="C74634"/>
          <w:sz w:val="29"/>
          <w:szCs w:val="29"/>
        </w:rPr>
        <w:t xml:space="preserve">8. Environment Isolation and Blast-Radius Model</w:t>
      </w:r>
    </w:p>
    <w:p>
      <w:pPr>
        <w:spacing w:after="130"/>
      </w:pPr>
      <w:r>
        <w:rPr>
          <w:rFonts w:ascii="Calibri" w:cs="Calibri" w:eastAsia="Calibri" w:hAnsi="Calibri"/>
          <w:color w:val="312D2A"/>
          <w:sz w:val="20"/>
          <w:szCs w:val="20"/>
        </w:rPr>
        <w:t xml:space="preserve">Six domains, six enterprise apps, six OAuth trust boundaries. The table shows what stays independent per environment.</w:t>
      </w:r>
    </w:p>
    <w:tbl>
      <w:tblPr>
        <w:tblW w:type="dxa" w:w="9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400"/>
        <w:gridCol w:w="3500"/>
      </w:tblGrid>
      <w:tr>
        <w:trPr>
          <w:tblHeader/>
        </w:trPr>
        <w:tc>
          <w:tcPr>
            <w:tcW w:type="dxa" w:w="24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Dimension</w:t>
            </w:r>
          </w:p>
        </w:tc>
        <w:tc>
          <w:tcPr>
            <w:tcW w:type="dxa" w:w="34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Per-environment (isolated)</w:t>
            </w:r>
          </w:p>
        </w:tc>
        <w:tc>
          <w:tcPr>
            <w:tcW w:type="dxa" w:w="35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Why it matters</w:t>
            </w:r>
          </w:p>
        </w:tc>
      </w:tr>
      <w:tr>
        <w:tc>
          <w:tcPr>
            <w:tcW w:type="dxa" w:w="24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Identity domain + Entra app</w:t>
            </w:r>
          </w:p>
        </w:tc>
        <w:tc>
          <w:tcPr>
            <w:tcW w:type="dxa" w:w="34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DOM-DEV1..PROD, each with CB-OCI-&lt;ENV&gt;</w:t>
            </w:r>
          </w:p>
        </w:tc>
        <w:tc>
          <w:tcPr>
            <w:tcW w:type="dxa" w:w="35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A change/mistake in one env cannot break another's SSO</w:t>
            </w:r>
          </w:p>
        </w:tc>
      </w:tr>
      <w:tr>
        <w:tc>
          <w:tcPr>
            <w:tcW w:type="dxa" w:w="24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SAML signing certificate</w:t>
            </w:r>
          </w:p>
        </w:tc>
        <w:tc>
          <w:tcPr>
            <w:tcW w:type="dxa" w:w="34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Per app; rotate staggered</w:t>
            </w:r>
          </w:p>
        </w:tc>
        <w:tc>
          <w:tcPr>
            <w:tcW w:type="dxa" w:w="35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No estate-wide simultaneous cert outage</w:t>
            </w:r>
          </w:p>
        </w:tc>
      </w:tr>
      <w:tr>
        <w:tc>
          <w:tcPr>
            <w:tcW w:type="dxa" w:w="24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Conditional Access / PIM</w:t>
            </w:r>
          </w:p>
        </w:tc>
        <w:tc>
          <w:tcPr>
            <w:tcW w:type="dxa" w:w="34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Baseline in Dev; strict + PIM in Prod</w:t>
            </w:r>
          </w:p>
        </w:tc>
        <w:tc>
          <w:tcPr>
            <w:tcW w:type="dxa" w:w="35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Prod gets tighter controls than Dev</w:t>
            </w:r>
          </w:p>
        </w:tc>
      </w:tr>
      <w:tr>
        <w:tc>
          <w:tcPr>
            <w:tcW w:type="dxa" w:w="24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OAuth confidential app (OIC)</w:t>
            </w:r>
          </w:p>
        </w:tc>
        <w:tc>
          <w:tcPr>
            <w:tcW w:type="dxa" w:w="34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svc-oic-&lt;env&gt;-* per domain</w:t>
            </w:r>
          </w:p>
        </w:tc>
        <w:tc>
          <w:tcPr>
            <w:tcW w:type="dxa" w:w="35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Compromise of a Dev secret does not reach Prod Fusion</w:t>
            </w:r>
          </w:p>
        </w:tc>
      </w:tr>
      <w:tr>
        <w:tc>
          <w:tcPr>
            <w:tcW w:type="dxa" w:w="24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ATP wallet / DB accounts</w:t>
            </w:r>
          </w:p>
        </w:tc>
        <w:tc>
          <w:tcPr>
            <w:tcW w:type="dxa" w:w="34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Per env, in that env's Vault</w:t>
            </w:r>
          </w:p>
        </w:tc>
        <w:tc>
          <w:tcPr>
            <w:tcW w:type="dxa" w:w="35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Blast radius of a leaked wallet is one environment</w:t>
            </w:r>
          </w:p>
        </w:tc>
      </w:tr>
      <w:tr>
        <w:tc>
          <w:tcPr>
            <w:tcW w:type="dxa" w:w="24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Sign-in audit</w:t>
            </w:r>
          </w:p>
        </w:tc>
        <w:tc>
          <w:tcPr>
            <w:tcW w:type="dxa" w:w="34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Per domain</w:t>
            </w:r>
          </w:p>
        </w:tc>
        <w:tc>
          <w:tcPr>
            <w:tcW w:type="dxa" w:w="35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Clean per-environment attribution and certification</w:t>
            </w:r>
          </w:p>
        </w:tc>
      </w:tr>
    </w:tbl>
    <w:p>
      <w:r>
        <w:br w:type="page"/>
      </w:r>
    </w:p>
    <w:p>
      <w:pPr>
        <w:pStyle w:val="Heading1"/>
        <w:spacing w:after="150" w:before="300"/>
      </w:pPr>
      <w:r>
        <w:rPr>
          <w:rFonts w:ascii="Calibri" w:cs="Calibri" w:eastAsia="Calibri" w:hAnsi="Calibri"/>
          <w:b/>
          <w:bCs/>
          <w:color w:val="C74634"/>
          <w:sz w:val="29"/>
          <w:szCs w:val="29"/>
        </w:rPr>
        <w:t xml:space="preserve">9. Security Controls and Guardrails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MFA + Conditional Access.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Enforced at Entra for every human sign-in; strict policy on Prod/platform.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PIM.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Admin roles (domain admin, OIC ServiceAdministrator, ATP admin) are PIM-eligible with just-in-time activation and approval on Prod.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Break-glass alarm.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An Events rule on successful sign-in by the break-glass accounts pages Security within 5 minutes; tested.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Secrets &amp; keys.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OCI Vault, customer-managed keys; 90-day rotation; no cleartext secrets in OIC connections; wallets never in repos/images.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Certificate rotation.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Track all six SAML signing-cert expiries; rotate staggered, never all-at-once.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Logging &amp; SIEM.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Audit retention maximised; domain sign-in logs and Cloud Guard problems streamed via Service Connector Hub to the SOC/SIEM.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Cloud Guard &amp; Security Zones.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Detect-only baseline graduating to alert/respond; Security Zones on Prod, Vault and Analytics.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Access certification.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Quarterly, on BOTH planes — OCI/domain groups AND Fusion roles/SoD; partner access time-boxed and re-attested.</w:t>
      </w:r>
    </w:p>
    <w:p>
      <w:r>
        <w:br w:type="page"/>
      </w:r>
    </w:p>
    <w:p>
      <w:pPr>
        <w:pStyle w:val="Heading1"/>
        <w:spacing w:after="150" w:before="300"/>
      </w:pPr>
      <w:r>
        <w:rPr>
          <w:rFonts w:ascii="Calibri" w:cs="Calibri" w:eastAsia="Calibri" w:hAnsi="Calibri"/>
          <w:b/>
          <w:bCs/>
          <w:color w:val="C74634"/>
          <w:sz w:val="29"/>
          <w:szCs w:val="29"/>
        </w:rPr>
        <w:t xml:space="preserve">10. Recommendations Summary (Do / Avoid)</w:t>
      </w:r>
    </w:p>
    <w:tbl>
      <w:tblPr>
        <w:tblW w:type="dxa" w:w="9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0"/>
        <w:gridCol w:w="4850"/>
      </w:tblGrid>
      <w:tr>
        <w:trPr>
          <w:tblHeader/>
        </w:trPr>
        <w:tc>
          <w:tcPr>
            <w:tcW w:type="dxa" w:w="48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Do</w:t>
            </w:r>
          </w:p>
        </w:tc>
        <w:tc>
          <w:tcPr>
            <w:tcW w:type="dxa" w:w="48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Avoid</w:t>
            </w:r>
          </w:p>
        </w:tc>
      </w:tr>
      <w:tr>
        <w:tc>
          <w:tcPr>
            <w:tcW w:type="dxa" w:w="48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One identity domain + one Entra app per environment</w:t>
            </w:r>
          </w:p>
        </w:tc>
        <w:tc>
          <w:tcPr>
            <w:tcW w:type="dxa" w:w="48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A single shared domain/app federating all six pods</w:t>
            </w:r>
          </w:p>
        </w:tc>
      </w:tr>
      <w:tr>
        <w:tc>
          <w:tcPr>
            <w:tcW w:type="dxa" w:w="48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Separate human (SAML) and machine (OAuth2/mTLS) planes</w:t>
            </w:r>
          </w:p>
        </w:tc>
        <w:tc>
          <w:tcPr>
            <w:tcW w:type="dxa" w:w="48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Using a person's federated login for OIC→Fusion</w:t>
            </w:r>
          </w:p>
        </w:tc>
      </w:tr>
      <w:tr>
        <w:tc>
          <w:tcPr>
            <w:tcW w:type="dxa" w:w="48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OAuth2 client-credentials/JWT for OIC→Fusion</w:t>
            </w:r>
          </w:p>
        </w:tc>
        <w:tc>
          <w:tcPr>
            <w:tcW w:type="dxa" w:w="48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Basic-auth service accounts where OAuth exists</w:t>
            </w:r>
          </w:p>
        </w:tc>
      </w:tr>
      <w:tr>
        <w:tc>
          <w:tcPr>
            <w:tcW w:type="dxa" w:w="48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IAM DB auth for human ATP access; wallet+Vault for apps</w:t>
            </w:r>
          </w:p>
        </w:tc>
        <w:tc>
          <w:tcPr>
            <w:tcW w:type="dxa" w:w="48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Shared local DB passwords; wallets in repos/images</w:t>
            </w:r>
          </w:p>
        </w:tc>
      </w:tr>
      <w:tr>
        <w:tc>
          <w:tcPr>
            <w:tcW w:type="dxa" w:w="48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SCIM provisioning, JIT off, HCM as worker source</w:t>
            </w:r>
          </w:p>
        </w:tc>
        <w:tc>
          <w:tcPr>
            <w:tcW w:type="dxa" w:w="48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Manual/duplicate provisioning; JIT sprawl</w:t>
            </w:r>
          </w:p>
        </w:tc>
      </w:tr>
      <w:tr>
        <w:tc>
          <w:tcPr>
            <w:tcW w:type="dxa" w:w="48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Break-glass local, excluded from federation, alarmed</w:t>
            </w:r>
          </w:p>
        </w:tc>
        <w:tc>
          <w:tcPr>
            <w:tcW w:type="dxa" w:w="48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Federating the Default domain / no backdoor</w:t>
            </w:r>
          </w:p>
        </w:tc>
      </w:tr>
      <w:tr>
        <w:tc>
          <w:tcPr>
            <w:tcW w:type="dxa" w:w="48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Strict CA + PIM on Prod; staggered cert rotation</w:t>
            </w:r>
          </w:p>
        </w:tc>
        <w:tc>
          <w:tcPr>
            <w:tcW w:type="dxa" w:w="48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One CA policy and one cert for the whole estate</w:t>
            </w:r>
          </w:p>
        </w:tc>
      </w:tr>
      <w:tr>
        <w:tc>
          <w:tcPr>
            <w:tcW w:type="dxa" w:w="48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Secrets in Vault, 90-day rotation, resource-principal reads</w:t>
            </w:r>
          </w:p>
        </w:tc>
        <w:tc>
          <w:tcPr>
            <w:tcW w:type="dxa" w:w="48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5"/>
                <w:szCs w:val="15"/>
              </w:rPr>
              <w:t xml:space="preserve">Secrets pasted into OIC connections at rest</w:t>
            </w:r>
          </w:p>
        </w:tc>
      </w:tr>
    </w:tbl>
    <w:p>
      <w:r>
        <w:br w:type="page"/>
      </w:r>
    </w:p>
    <w:p>
      <w:pPr>
        <w:pStyle w:val="Heading1"/>
        <w:spacing w:after="150" w:before="300"/>
      </w:pPr>
      <w:r>
        <w:rPr>
          <w:rFonts w:ascii="Calibri" w:cs="Calibri" w:eastAsia="Calibri" w:hAnsi="Calibri"/>
          <w:b/>
          <w:bCs/>
          <w:color w:val="C74634"/>
          <w:sz w:val="29"/>
          <w:szCs w:val="29"/>
        </w:rPr>
        <w:t xml:space="preserve">11. Build Sequence (High Level)</w:t>
      </w:r>
    </w:p>
    <w:p>
      <w:pPr>
        <w:pStyle w:val="ListParagraph"/>
        <w:numPr>
          <w:ilvl w:val="0"/>
          <w:numId w:val="4"/>
        </w:numPr>
        <w:spacing w:after="65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Stand up break-glass in the Default domain; prove login + MFA; vault the credentials.</w:t>
      </w:r>
    </w:p>
    <w:p>
      <w:pPr>
        <w:pStyle w:val="ListParagraph"/>
        <w:numPr>
          <w:ilvl w:val="0"/>
          <w:numId w:val="4"/>
        </w:numPr>
        <w:spacing w:after="65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Create the six identity domains (or confirm the Fusion pod domains) and, per domain, one Entra enterprise app; register the SAML IdP; enable SCIM; verify the IdP-group → SCIM → domain-group → role chain.</w:t>
      </w:r>
    </w:p>
    <w:p>
      <w:pPr>
        <w:pStyle w:val="ListParagraph"/>
        <w:numPr>
          <w:ilvl w:val="0"/>
          <w:numId w:val="4"/>
        </w:numPr>
        <w:spacing w:after="65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Apply Conditional Access + PIM (strict on Prod); confirm unassigned users are refused.</w:t>
      </w:r>
    </w:p>
    <w:p>
      <w:pPr>
        <w:pStyle w:val="ListParagraph"/>
        <w:numPr>
          <w:ilvl w:val="0"/>
          <w:numId w:val="4"/>
        </w:numPr>
        <w:spacing w:after="65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Per environment: register the OIC confidential OAuth2 app; wire OIC→Fusion with client-credentials; store secrets in Vault.</w:t>
      </w:r>
    </w:p>
    <w:p>
      <w:pPr>
        <w:pStyle w:val="ListParagraph"/>
        <w:numPr>
          <w:ilvl w:val="0"/>
          <w:numId w:val="4"/>
        </w:numPr>
        <w:spacing w:after="65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Per environment: configure ATP IAM DB auth for humans and mTLS wallet + service account for OIC; lock NSG 1522 to the OIC subnet.</w:t>
      </w:r>
    </w:p>
    <w:p>
      <w:pPr>
        <w:pStyle w:val="ListParagraph"/>
        <w:numPr>
          <w:ilvl w:val="0"/>
          <w:numId w:val="4"/>
        </w:numPr>
        <w:spacing w:after="65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Enable logging/SIEM export, Cloud Guard, Security Zones; schedule quarterly access certification and staggered cert rotation.</w:t>
      </w:r>
    </w:p>
    <w:p>
      <w:pPr>
        <w:pBdr>
          <w:top w:val="single" w:color="8A6D1D" w:sz="6"/>
          <w:bottom w:val="single" w:color="8A6D1D" w:sz="6"/>
          <w:left w:val="single" w:color="8A6D1D" w:sz="6"/>
          <w:right w:val="single" w:color="8A6D1D" w:sz="6"/>
        </w:pBdr>
        <w:shd w:fill="FBF3E3" w:val="clear"/>
        <w:spacing w:after="120" w:before="80"/>
      </w:pPr>
      <w:r>
        <w:rPr>
          <w:rFonts w:ascii="Calibri" w:cs="Calibri" w:eastAsia="Calibri" w:hAnsi="Calibri"/>
          <w:b/>
          <w:bCs/>
          <w:color w:val="8A6D1D"/>
          <w:sz w:val="21"/>
          <w:szCs w:val="21"/>
        </w:rPr>
        <w:t xml:space="preserve">Pathfinder.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Prove the whole pattern on Dev1 first (federate, SCIM, OIC OAuth, ATP), run a deliberate fall-back to the previous IdP, then fan out to Dev2–Dev4 and Test, and do Prod last under a change window — the sequence used in your CR-IDN-001 rev 2 runbook.</w:t>
      </w:r>
    </w:p>
    <w:p>
      <w:r>
        <w:br w:type="page"/>
      </w:r>
    </w:p>
    <w:p>
      <w:pPr>
        <w:pStyle w:val="Heading1"/>
        <w:spacing w:after="150" w:before="300"/>
      </w:pPr>
      <w:r>
        <w:rPr>
          <w:rFonts w:ascii="Calibri" w:cs="Calibri" w:eastAsia="Calibri" w:hAnsi="Calibri"/>
          <w:b/>
          <w:bCs/>
          <w:color w:val="C74634"/>
          <w:sz w:val="29"/>
          <w:szCs w:val="29"/>
        </w:rPr>
        <w:t xml:space="preserve">Appendix A — Naming Conventions</w:t>
      </w:r>
    </w:p>
    <w:tbl>
      <w:tblPr>
        <w:tblW w:type="dxa" w:w="9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350"/>
        <w:gridCol w:w="3350"/>
      </w:tblGrid>
      <w:tr>
        <w:trPr>
          <w:tblHeader/>
        </w:trPr>
        <w:tc>
          <w:tcPr>
            <w:tcW w:type="dxa" w:w="30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Object</w:t>
            </w:r>
          </w:p>
        </w:tc>
        <w:tc>
          <w:tcPr>
            <w:tcW w:type="dxa" w:w="3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Pattern</w:t>
            </w:r>
          </w:p>
        </w:tc>
        <w:tc>
          <w:tcPr>
            <w:tcW w:type="dxa" w:w="3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Example</w:t>
            </w:r>
          </w:p>
        </w:tc>
      </w:tr>
      <w:tr>
        <w:tc>
          <w:tcPr>
            <w:tcW w:type="dxa" w:w="30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Identity domain</w:t>
            </w:r>
          </w:p>
        </w:tc>
        <w:tc>
          <w:tcPr>
            <w:tcW w:type="dxa" w:w="3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DOM-&lt;ENV&gt;</w:t>
            </w:r>
          </w:p>
        </w:tc>
        <w:tc>
          <w:tcPr>
            <w:tcW w:type="dxa" w:w="3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DOM-PROD</w:t>
            </w:r>
          </w:p>
        </w:tc>
      </w:tr>
      <w:tr>
        <w:tc>
          <w:tcPr>
            <w:tcW w:type="dxa" w:w="30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Entra enterprise app</w:t>
            </w:r>
          </w:p>
        </w:tc>
        <w:tc>
          <w:tcPr>
            <w:tcW w:type="dxa" w:w="3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CB-OCI-&lt;ENV&gt;</w:t>
            </w:r>
          </w:p>
        </w:tc>
        <w:tc>
          <w:tcPr>
            <w:tcW w:type="dxa" w:w="3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CB-OCI-PROD</w:t>
            </w:r>
          </w:p>
        </w:tc>
      </w:tr>
      <w:tr>
        <w:tc>
          <w:tcPr>
            <w:tcW w:type="dxa" w:w="30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Domain group</w:t>
            </w:r>
          </w:p>
        </w:tc>
        <w:tc>
          <w:tcPr>
            <w:tcW w:type="dxa" w:w="3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OCI-&lt;ENV&gt;-&lt;ROLE&gt;</w:t>
            </w:r>
          </w:p>
        </w:tc>
        <w:tc>
          <w:tcPr>
            <w:tcW w:type="dxa" w:w="3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OCI-PROD-OIC-ADMIN</w:t>
            </w:r>
          </w:p>
        </w:tc>
      </w:tr>
      <w:tr>
        <w:tc>
          <w:tcPr>
            <w:tcW w:type="dxa" w:w="30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OIC OAuth service identity</w:t>
            </w:r>
          </w:p>
        </w:tc>
        <w:tc>
          <w:tcPr>
            <w:tcW w:type="dxa" w:w="3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svc-oic-&lt;env&gt;-fusion</w:t>
            </w:r>
          </w:p>
        </w:tc>
        <w:tc>
          <w:tcPr>
            <w:tcW w:type="dxa" w:w="3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svc-oic-prod-fusion</w:t>
            </w:r>
          </w:p>
        </w:tc>
      </w:tr>
      <w:tr>
        <w:tc>
          <w:tcPr>
            <w:tcW w:type="dxa" w:w="30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ATP service account</w:t>
            </w:r>
          </w:p>
        </w:tc>
        <w:tc>
          <w:tcPr>
            <w:tcW w:type="dxa" w:w="3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svc-atp-&lt;env&gt;-&lt;app&gt;</w:t>
            </w:r>
          </w:p>
        </w:tc>
        <w:tc>
          <w:tcPr>
            <w:tcW w:type="dxa" w:w="3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svc-atp-prod-oic</w:t>
            </w:r>
          </w:p>
        </w:tc>
      </w:tr>
      <w:tr>
        <w:tc>
          <w:tcPr>
            <w:tcW w:type="dxa" w:w="30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Vault secret</w:t>
            </w:r>
          </w:p>
        </w:tc>
        <w:tc>
          <w:tcPr>
            <w:tcW w:type="dxa" w:w="3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SEC-&lt;SVC&gt;-&lt;ENV&gt;</w:t>
            </w:r>
          </w:p>
        </w:tc>
        <w:tc>
          <w:tcPr>
            <w:tcW w:type="dxa" w:w="3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SEC-OIC-PROD-FUSION-OAUTH</w:t>
            </w:r>
          </w:p>
        </w:tc>
      </w:tr>
      <w:tr>
        <w:tc>
          <w:tcPr>
            <w:tcW w:type="dxa" w:w="30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Break-glass user</w:t>
            </w:r>
          </w:p>
        </w:tc>
        <w:tc>
          <w:tcPr>
            <w:tcW w:type="dxa" w:w="3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BG-OCI-ADMIN-0n</w:t>
            </w:r>
          </w:p>
        </w:tc>
        <w:tc>
          <w:tcPr>
            <w:tcW w:type="dxa" w:w="33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BG-OCI-ADMIN-01</w:t>
            </w:r>
          </w:p>
        </w:tc>
      </w:tr>
    </w:tbl>
    <w:p>
      <w:r>
        <w:br w:type="page"/>
      </w:r>
    </w:p>
    <w:p>
      <w:pPr>
        <w:pStyle w:val="Heading1"/>
        <w:spacing w:after="150" w:before="300"/>
      </w:pPr>
      <w:r>
        <w:rPr>
          <w:rFonts w:ascii="Calibri" w:cs="Calibri" w:eastAsia="Calibri" w:hAnsi="Calibri"/>
          <w:b/>
          <w:bCs/>
          <w:color w:val="C74634"/>
          <w:sz w:val="29"/>
          <w:szCs w:val="29"/>
        </w:rPr>
        <w:t xml:space="preserve">Appendix B — OAuth Scopes and Group Model (representative)</w:t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6B6560"/>
          <w:sz w:val="22"/>
          <w:szCs w:val="22"/>
        </w:rPr>
        <w:t xml:space="preserve">OIC → Fusion OAuth (confidential app)</w:t>
      </w:r>
    </w:p>
    <w:p>
      <w:pPr>
        <w:pStyle w:val="ListParagraph"/>
        <w:numPr>
          <w:ilvl w:val="0"/>
          <w:numId w:val="3"/>
        </w:numPr>
        <w:spacing w:after="55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Grant client-credentials with the specific Fusion REST/SOAP resource scopes the integrations use (e.g., the Fusion Applications resource with the required functional scopes) — least privilege, reviewed per integration.</w:t>
      </w:r>
    </w:p>
    <w:p>
      <w:pPr>
        <w:pStyle w:val="ListParagraph"/>
        <w:numPr>
          <w:ilvl w:val="0"/>
          <w:numId w:val="3"/>
        </w:numPr>
        <w:spacing w:after="55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Use JWT user-assertion (3-legged) only where an operation must run as a named user; otherwise 2-legged client-credentials.</w:t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6B6560"/>
          <w:sz w:val="22"/>
          <w:szCs w:val="22"/>
        </w:rPr>
        <w:t xml:space="preserve">Domain group → role mapping (per environment)</w:t>
      </w:r>
    </w:p>
    <w:tbl>
      <w:tblPr>
        <w:tblW w:type="dxa" w:w="9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100"/>
      </w:tblGrid>
      <w:tr>
        <w:trPr>
          <w:tblHeader/>
        </w:trPr>
        <w:tc>
          <w:tcPr>
            <w:tcW w:type="dxa" w:w="36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Domain group (from Entra via SCIM)</w:t>
            </w:r>
          </w:p>
        </w:tc>
        <w:tc>
          <w:tcPr>
            <w:tcW w:type="dxa" w:w="61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Grants</w:t>
            </w:r>
          </w:p>
        </w:tc>
      </w:tr>
      <w:tr>
        <w:tc>
          <w:tcPr>
            <w:tcW w:type="dxa" w:w="36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OCI-&lt;ENV&gt;-CONSOLE-ADMIN</w:t>
            </w:r>
          </w:p>
        </w:tc>
        <w:tc>
          <w:tcPr>
            <w:tcW w:type="dxa" w:w="61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OCI Console admin scope for that environment's compartments</w:t>
            </w:r>
          </w:p>
        </w:tc>
      </w:tr>
      <w:tr>
        <w:tc>
          <w:tcPr>
            <w:tcW w:type="dxa" w:w="36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OCI-&lt;ENV&gt;-OIC-DEVELOPER</w:t>
            </w:r>
          </w:p>
        </w:tc>
        <w:tc>
          <w:tcPr>
            <w:tcW w:type="dxa" w:w="61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OIC ServiceDeveloper (Dev/Test)</w:t>
            </w:r>
          </w:p>
        </w:tc>
      </w:tr>
      <w:tr>
        <w:tc>
          <w:tcPr>
            <w:tcW w:type="dxa" w:w="36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OCI-&lt;ENV&gt;-OIC-ADMIN</w:t>
            </w:r>
          </w:p>
        </w:tc>
        <w:tc>
          <w:tcPr>
            <w:tcW w:type="dxa" w:w="61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OIC ServiceAdministrator / deploy (Test/Prod, PIM-eligible)</w:t>
            </w:r>
          </w:p>
        </w:tc>
      </w:tr>
      <w:tr>
        <w:tc>
          <w:tcPr>
            <w:tcW w:type="dxa" w:w="36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OCI-&lt;ENV&gt;-DBA</w:t>
            </w:r>
          </w:p>
        </w:tc>
        <w:tc>
          <w:tcPr>
            <w:tcW w:type="dxa" w:w="61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ATP IAM DB auth → DBA role (PIM-eligible on Prod)</w:t>
            </w:r>
          </w:p>
        </w:tc>
      </w:tr>
      <w:tr>
        <w:tc>
          <w:tcPr>
            <w:tcW w:type="dxa" w:w="36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OCI-&lt;ENV&gt;-OAC-AUTHOR / -CONSUMER</w:t>
            </w:r>
          </w:p>
        </w:tc>
        <w:tc>
          <w:tcPr>
            <w:tcW w:type="dxa" w:w="61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44"/>
              <w:left w:type="dxa" w:w="78"/>
              <w:bottom w:type="dxa" w:w="44"/>
              <w:right w:type="dxa" w:w="78"/>
            </w:tcMar>
          </w:tcPr>
          <w:p>
            <w:pPr>
              <w:spacing w:after="26"/>
            </w:pPr>
            <w:r>
              <w:rPr>
                <w:rFonts w:ascii="Calibri" w:cs="Calibri" w:eastAsia="Calibri" w:hAnsi="Calibri"/>
                <w:color w:val="312D2A"/>
                <w:sz w:val="16"/>
                <w:szCs w:val="16"/>
              </w:rPr>
              <w:t xml:space="preserve">OAC analytics author / consumer</w:t>
            </w:r>
          </w:p>
        </w:tc>
      </w:tr>
    </w:tbl>
    <w:p>
      <w:pPr>
        <w:spacing w:after="130"/>
      </w:pPr>
      <w:r>
        <w:rPr>
          <w:rFonts w:ascii="Calibri" w:cs="Calibri" w:eastAsia="Calibri" w:hAnsi="Calibri"/>
          <w:i/>
          <w:iCs/>
          <w:color w:val="6B6560"/>
          <w:sz w:val="18"/>
          <w:szCs w:val="18"/>
        </w:rPr>
        <w:t xml:space="preserve">This is a v1.0 advisory draft. Validate every scope, group and pod↔domain binding against current Oracle documentation and your tenancy before implementation; align with CR-IDN-001 rev 2 (per-environment federation) and the landing-zone design.</w:t>
      </w:r>
    </w:p>
    <w:sectPr>
      <w:pgSz w:w="12240" w:h="15840" w:orient="portrait"/>
      <w:pgMar w:top="1080" w:right="1120" w:bottom="1080" w:left="11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2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2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12D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deddf76241d2db3d1e71af84549d903f1ed05.png"/><Relationship Id="rId8" Type="http://schemas.openxmlformats.org/officeDocument/2006/relationships/image" Target="media/0d279559083698e65450f58bf88fb320cf73c99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2026-09-29T21:33:14.792Z</dcterms:created>
  <dcterms:modified xsi:type="dcterms:W3CDTF">2026-09-29T21:33:14.803Z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