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OCI Best Practices Reference Guide</w:t>
      </w:r>
    </w:p>
    <w:p>
      <w:pPr>
        <w:pStyle w:val="Subtitle"/>
      </w:pPr>
      <w:r>
        <w:t>Architecture • Governance • Security • Ransomware Resilience • Disaster Recovery • Operations</w:t>
      </w:r>
    </w:p>
    <w:p>
      <w:r>
        <w:t>Prepared for EbizonCloud | Reference catalog based on official sources reviewed 5 October 2026</w:t>
      </w:r>
    </w:p>
    <w:p>
      <w:pPr>
        <w:pStyle w:val="Heading1"/>
      </w:pPr>
      <w:r>
        <w:t>Purpose and recommended use</w:t>
      </w:r>
    </w:p>
    <w:p>
      <w:r>
        <w:t>Use this guide as a practical reference catalog for OCI greenfield design, brownfield assessment, security hardening, and operational improvement. It brings together Oracle architecture guidance and independent CIS, NIST, and CISA security references. It is a curated catalog, rather than an exhaustive inventory of every OCI document.</w:t>
      </w:r>
    </w:p>
    <w:p>
      <w:r>
        <w:t>The OCI Well-Architected Framework covers five pillars: security and compliance; reliability and resilience; performance and cost optimization; operational efficiency; and distributed cloud. Begin with the framework, then use the relevant implementation and service-specific references below.</w:t>
      </w:r>
    </w:p>
    <w:p>
      <w:pPr>
        <w:pStyle w:val="Heading1"/>
      </w:pPr>
      <w:r>
        <w:t>1. Architecture frameworks and assessments</w:t>
      </w:r>
    </w:p>
    <w:tbl>
      <w:tblPr>
        <w:tblStyle w:val="LightShading-Accent1"/>
        <w:tblW w:type="auto" w:w="0"/>
        <w:tblLook w:firstColumn="1" w:firstRow="1" w:lastColumn="0" w:lastRow="0" w:noHBand="0" w:noVBand="1" w:val="04A0"/>
      </w:tblPr>
      <w:tblGrid>
        <w:gridCol w:w="4320"/>
        <w:gridCol w:w="4320"/>
      </w:tblGrid>
      <w:tr>
        <w:tc>
          <w:tcPr>
            <w:tcW w:type="dxa" w:w="4320"/>
          </w:tcPr>
          <w:p>
            <w:r>
              <w:t>Reference / clickable link</w:t>
            </w:r>
          </w:p>
        </w:tc>
        <w:tc>
          <w:tcPr>
            <w:tcW w:type="dxa" w:w="4320"/>
          </w:tcPr>
          <w:p>
            <w:r>
              <w:t>Recommended use</w:t>
            </w:r>
          </w:p>
        </w:tc>
      </w:tr>
      <w:tr>
        <w:trPr>
          <w:cantSplit/>
        </w:trPr>
        <w:tc>
          <w:tcPr>
            <w:tcW w:type="dxa" w:w="4320"/>
          </w:tcPr>
          <w:p>
            <w:hyperlink r:id="rId10">
              <w:r>
                <w:rPr>
                  <w:color w:val="0563C1"/>
                  <w:u w:val="single"/>
                </w:rPr>
                <w:t>OCI Well-Architected Framework</w:t>
              </w:r>
            </w:hyperlink>
          </w:p>
        </w:tc>
        <w:tc>
          <w:tcPr>
            <w:tcW w:type="dxa" w:w="4320"/>
          </w:tcPr>
          <w:p>
            <w:r>
              <w:t>Primary architecture design and review standard.</w:t>
            </w:r>
          </w:p>
        </w:tc>
      </w:tr>
      <w:tr>
        <w:trPr>
          <w:cantSplit/>
        </w:trPr>
        <w:tc>
          <w:tcPr>
            <w:tcW w:type="dxa" w:w="4320"/>
          </w:tcPr>
          <w:p>
            <w:hyperlink r:id="rId11">
              <w:r>
                <w:rPr>
                  <w:color w:val="0563C1"/>
                  <w:u w:val="single"/>
                </w:rPr>
                <w:t>Oracle Cloud Architecture Center</w:t>
              </w:r>
            </w:hyperlink>
          </w:p>
        </w:tc>
        <w:tc>
          <w:tcPr>
            <w:tcW w:type="dxa" w:w="4320"/>
          </w:tcPr>
          <w:p>
            <w:r>
              <w:t>Reference architectures, solution playbooks, and deployment patterns.</w:t>
            </w:r>
          </w:p>
        </w:tc>
      </w:tr>
      <w:tr>
        <w:trPr>
          <w:cantSplit/>
        </w:trPr>
        <w:tc>
          <w:tcPr>
            <w:tcW w:type="dxa" w:w="4320"/>
          </w:tcPr>
          <w:p>
            <w:hyperlink r:id="rId12">
              <w:r>
                <w:rPr>
                  <w:color w:val="0563C1"/>
                  <w:u w:val="single"/>
                </w:rPr>
                <w:t>OCI Well-Architected Assessment</w:t>
              </w:r>
            </w:hyperlink>
          </w:p>
        </w:tc>
        <w:tc>
          <w:tcPr>
            <w:tcW w:type="dxa" w:w="4320"/>
          </w:tcPr>
          <w:p>
            <w:r>
              <w:t>Assess existing environments and identify improvement areas.</w:t>
            </w:r>
          </w:p>
        </w:tc>
      </w:tr>
      <w:tr>
        <w:trPr>
          <w:cantSplit/>
        </w:trPr>
        <w:tc>
          <w:tcPr>
            <w:tcW w:type="dxa" w:w="4320"/>
          </w:tcPr>
          <w:p>
            <w:hyperlink r:id="rId13">
              <w:r>
                <w:rPr>
                  <w:color w:val="0563C1"/>
                  <w:u w:val="single"/>
                </w:rPr>
                <w:t>OCI Cloud Adoption Framework</w:t>
              </w:r>
            </w:hyperlink>
          </w:p>
        </w:tc>
        <w:tc>
          <w:tcPr>
            <w:tcW w:type="dxa" w:w="4320"/>
          </w:tcPr>
          <w:p>
            <w:r>
              <w:t>Cloud strategy, people, processes, governance, and operations.</w:t>
            </w:r>
          </w:p>
        </w:tc>
      </w:tr>
      <w:tr>
        <w:trPr>
          <w:cantSplit/>
        </w:trPr>
        <w:tc>
          <w:tcPr>
            <w:tcW w:type="dxa" w:w="4320"/>
          </w:tcPr>
          <w:p>
            <w:hyperlink r:id="rId14">
              <w:r>
                <w:rPr>
                  <w:color w:val="0563C1"/>
                  <w:u w:val="single"/>
                </w:rPr>
                <w:t>OCI Best Practices by Use Case</w:t>
              </w:r>
            </w:hyperlink>
          </w:p>
        </w:tc>
        <w:tc>
          <w:tcPr>
            <w:tcW w:type="dxa" w:w="4320"/>
          </w:tcPr>
          <w:p>
            <w:r>
              <w:t>Index of Oracle guidance organized by scenario.</w:t>
            </w:r>
          </w:p>
        </w:tc>
      </w:tr>
    </w:tbl>
    <w:p/>
    <w:p>
      <w:pPr>
        <w:pStyle w:val="Heading1"/>
      </w:pPr>
      <w:r>
        <w:t>2. Governance, tenancy foundations, and landing zones</w:t>
      </w:r>
    </w:p>
    <w:tbl>
      <w:tblPr>
        <w:tblStyle w:val="LightShading-Accent1"/>
        <w:tblW w:type="auto" w:w="0"/>
        <w:tblLook w:firstColumn="1" w:firstRow="1" w:lastColumn="0" w:lastRow="0" w:noHBand="0" w:noVBand="1" w:val="04A0"/>
      </w:tblPr>
      <w:tblGrid>
        <w:gridCol w:w="4320"/>
        <w:gridCol w:w="4320"/>
      </w:tblGrid>
      <w:tr>
        <w:tc>
          <w:tcPr>
            <w:tcW w:type="dxa" w:w="4320"/>
          </w:tcPr>
          <w:p>
            <w:r>
              <w:t>Reference / clickable link</w:t>
            </w:r>
          </w:p>
        </w:tc>
        <w:tc>
          <w:tcPr>
            <w:tcW w:type="dxa" w:w="4320"/>
          </w:tcPr>
          <w:p>
            <w:r>
              <w:t>Recommended use</w:t>
            </w:r>
          </w:p>
        </w:tc>
      </w:tr>
      <w:tr>
        <w:trPr>
          <w:cantSplit/>
        </w:trPr>
        <w:tc>
          <w:tcPr>
            <w:tcW w:type="dxa" w:w="4320"/>
          </w:tcPr>
          <w:p>
            <w:hyperlink r:id="rId15">
              <w:r>
                <w:rPr>
                  <w:color w:val="0563C1"/>
                  <w:u w:val="single"/>
                </w:rPr>
                <w:t>Foundational OCI Governance Model</w:t>
              </w:r>
            </w:hyperlink>
          </w:p>
        </w:tc>
        <w:tc>
          <w:tcPr>
            <w:tcW w:type="dxa" w:w="4320"/>
          </w:tcPr>
          <w:p>
            <w:r>
              <w:t>Governance responsibilities, tenancy organization, and foundational controls.</w:t>
            </w:r>
          </w:p>
        </w:tc>
      </w:tr>
      <w:tr>
        <w:trPr>
          <w:cantSplit/>
        </w:trPr>
        <w:tc>
          <w:tcPr>
            <w:tcW w:type="dxa" w:w="4320"/>
          </w:tcPr>
          <w:p>
            <w:hyperlink r:id="rId16">
              <w:r>
                <w:rPr>
                  <w:color w:val="0563C1"/>
                  <w:u w:val="single"/>
                </w:rPr>
                <w:t>OCI Landing Zones Overview</w:t>
              </w:r>
            </w:hyperlink>
          </w:p>
        </w:tc>
        <w:tc>
          <w:tcPr>
            <w:tcW w:type="dxa" w:w="4320"/>
          </w:tcPr>
          <w:p>
            <w:r>
              <w:t>Select the appropriate landing-zone approach.</w:t>
            </w:r>
          </w:p>
        </w:tc>
      </w:tr>
      <w:tr>
        <w:trPr>
          <w:cantSplit/>
        </w:trPr>
        <w:tc>
          <w:tcPr>
            <w:tcW w:type="dxa" w:w="4320"/>
          </w:tcPr>
          <w:p>
            <w:hyperlink r:id="rId17">
              <w:r>
                <w:rPr>
                  <w:color w:val="0563C1"/>
                  <w:u w:val="single"/>
                </w:rPr>
                <w:t>OCI Core Landing Zone</w:t>
              </w:r>
            </w:hyperlink>
          </w:p>
        </w:tc>
        <w:tc>
          <w:tcPr>
            <w:tcW w:type="dxa" w:w="4320"/>
          </w:tcPr>
          <w:p>
            <w:r>
              <w:t>Foundation for IAM, networking, security, and governance.</w:t>
            </w:r>
          </w:p>
        </w:tc>
      </w:tr>
      <w:tr>
        <w:trPr>
          <w:cantSplit/>
        </w:trPr>
        <w:tc>
          <w:tcPr>
            <w:tcW w:type="dxa" w:w="4320"/>
          </w:tcPr>
          <w:p>
            <w:hyperlink r:id="rId18">
              <w:r>
                <w:rPr>
                  <w:color w:val="0563C1"/>
                  <w:u w:val="single"/>
                </w:rPr>
                <w:t>Shared Security Responsibility Model</w:t>
              </w:r>
            </w:hyperlink>
          </w:p>
        </w:tc>
        <w:tc>
          <w:tcPr>
            <w:tcW w:type="dxa" w:w="4320"/>
          </w:tcPr>
          <w:p>
            <w:r>
              <w:t>Document Oracle versus customer security responsibilities.</w:t>
            </w:r>
          </w:p>
        </w:tc>
      </w:tr>
      <w:tr>
        <w:trPr>
          <w:cantSplit/>
        </w:trPr>
        <w:tc>
          <w:tcPr>
            <w:tcW w:type="dxa" w:w="4320"/>
          </w:tcPr>
          <w:p>
            <w:hyperlink r:id="rId19">
              <w:r>
                <w:rPr>
                  <w:color w:val="0563C1"/>
                  <w:u w:val="single"/>
                </w:rPr>
                <w:t>Shared Responsibility for Resiliency</w:t>
              </w:r>
            </w:hyperlink>
          </w:p>
        </w:tc>
        <w:tc>
          <w:tcPr>
            <w:tcW w:type="dxa" w:w="4320"/>
          </w:tcPr>
          <w:p>
            <w:r>
              <w:t>Assign responsibilities for high availability, backups, and DR.</w:t>
            </w:r>
          </w:p>
        </w:tc>
      </w:tr>
    </w:tbl>
    <w:p/>
    <w:p>
      <w:pPr>
        <w:pStyle w:val="Heading1"/>
      </w:pPr>
      <w:r>
        <w:t>3. Security checklists, hardening, and Zero Trust</w:t>
      </w:r>
    </w:p>
    <w:p>
      <w:r>
        <w:t>Use the security checklist for reviews, CIS benchmarks for configuration baselines, and service security guidance for implementation.</w:t>
      </w:r>
    </w:p>
    <w:tbl>
      <w:tblPr>
        <w:tblStyle w:val="LightShading-Accent1"/>
        <w:tblW w:type="auto" w:w="0"/>
        <w:tblLook w:firstColumn="1" w:firstRow="1" w:lastColumn="0" w:lastRow="0" w:noHBand="0" w:noVBand="1" w:val="04A0"/>
      </w:tblPr>
      <w:tblGrid>
        <w:gridCol w:w="4320"/>
        <w:gridCol w:w="4320"/>
      </w:tblGrid>
      <w:tr>
        <w:tc>
          <w:tcPr>
            <w:tcW w:type="dxa" w:w="4320"/>
          </w:tcPr>
          <w:p>
            <w:r>
              <w:t>Reference / clickable link</w:t>
            </w:r>
          </w:p>
        </w:tc>
        <w:tc>
          <w:tcPr>
            <w:tcW w:type="dxa" w:w="4320"/>
          </w:tcPr>
          <w:p>
            <w:r>
              <w:t>Recommended use</w:t>
            </w:r>
          </w:p>
        </w:tc>
      </w:tr>
      <w:tr>
        <w:trPr>
          <w:cantSplit/>
        </w:trPr>
        <w:tc>
          <w:tcPr>
            <w:tcW w:type="dxa" w:w="4320"/>
          </w:tcPr>
          <w:p>
            <w:hyperlink r:id="rId20">
              <w:r>
                <w:rPr>
                  <w:color w:val="0563C1"/>
                  <w:u w:val="single"/>
                </w:rPr>
                <w:t>OCI Security Checklist</w:t>
              </w:r>
            </w:hyperlink>
          </w:p>
        </w:tc>
        <w:tc>
          <w:tcPr>
            <w:tcW w:type="dxa" w:w="4320"/>
          </w:tcPr>
          <w:p>
            <w:r>
              <w:t>Structured security review and implementation checklist.</w:t>
            </w:r>
          </w:p>
        </w:tc>
      </w:tr>
      <w:tr>
        <w:trPr>
          <w:cantSplit/>
        </w:trPr>
        <w:tc>
          <w:tcPr>
            <w:tcW w:type="dxa" w:w="4320"/>
          </w:tcPr>
          <w:p>
            <w:hyperlink r:id="rId21">
              <w:r>
                <w:rPr>
                  <w:color w:val="0563C1"/>
                  <w:u w:val="single"/>
                </w:rPr>
                <w:t>CIS Oracle Cloud Infrastructure Benchmark</w:t>
              </w:r>
            </w:hyperlink>
          </w:p>
        </w:tc>
        <w:tc>
          <w:tcPr>
            <w:tcW w:type="dxa" w:w="4320"/>
          </w:tcPr>
          <w:p>
            <w:r>
              <w:t>Independent secure configuration baseline for OCI.</w:t>
            </w:r>
          </w:p>
        </w:tc>
      </w:tr>
      <w:tr>
        <w:trPr>
          <w:cantSplit/>
        </w:trPr>
        <w:tc>
          <w:tcPr>
            <w:tcW w:type="dxa" w:w="4320"/>
          </w:tcPr>
          <w:p>
            <w:hyperlink r:id="rId22">
              <w:r>
                <w:rPr>
                  <w:color w:val="0563C1"/>
                  <w:u w:val="single"/>
                </w:rPr>
                <w:t>OCI Security and Compliance Design Guidance</w:t>
              </w:r>
            </w:hyperlink>
          </w:p>
        </w:tc>
        <w:tc>
          <w:tcPr>
            <w:tcW w:type="dxa" w:w="4320"/>
          </w:tcPr>
          <w:p>
            <w:r>
              <w:t>Least privilege, segmentation, data protection, and monitoring.</w:t>
            </w:r>
          </w:p>
        </w:tc>
      </w:tr>
      <w:tr>
        <w:trPr>
          <w:cantSplit/>
        </w:trPr>
        <w:tc>
          <w:tcPr>
            <w:tcW w:type="dxa" w:w="4320"/>
          </w:tcPr>
          <w:p>
            <w:hyperlink r:id="rId23">
              <w:r>
                <w:rPr>
                  <w:color w:val="0563C1"/>
                  <w:u w:val="single"/>
                </w:rPr>
                <w:t>OCI Service Security Best Practices</w:t>
              </w:r>
            </w:hyperlink>
          </w:p>
        </w:tc>
        <w:tc>
          <w:tcPr>
            <w:tcW w:type="dxa" w:w="4320"/>
          </w:tcPr>
          <w:p>
            <w:r>
              <w:t>Hardening guidance for IAM, networking, Compute, OKE, databases, Object Storage, Integration, API Gateway, and other services.</w:t>
            </w:r>
          </w:p>
        </w:tc>
      </w:tr>
      <w:tr>
        <w:trPr>
          <w:cantSplit/>
        </w:trPr>
        <w:tc>
          <w:tcPr>
            <w:tcW w:type="dxa" w:w="4320"/>
          </w:tcPr>
          <w:p>
            <w:hyperlink r:id="rId24">
              <w:r>
                <w:rPr>
                  <w:color w:val="0563C1"/>
                  <w:u w:val="single"/>
                </w:rPr>
                <w:t>OCI Security Resource Directory</w:t>
              </w:r>
            </w:hyperlink>
          </w:p>
        </w:tc>
        <w:tc>
          <w:tcPr>
            <w:tcW w:type="dxa" w:w="4320"/>
          </w:tcPr>
          <w:p>
            <w:r>
              <w:t>Index for IAM, Vault, Data Safe, SIEM, and security guidance.</w:t>
            </w:r>
          </w:p>
        </w:tc>
      </w:tr>
      <w:tr>
        <w:trPr>
          <w:cantSplit/>
        </w:trPr>
        <w:tc>
          <w:tcPr>
            <w:tcW w:type="dxa" w:w="4320"/>
          </w:tcPr>
          <w:p>
            <w:hyperlink r:id="rId25">
              <w:r>
                <w:rPr>
                  <w:color w:val="0563C1"/>
                  <w:u w:val="single"/>
                </w:rPr>
                <w:t>OCI Security Architecture (PDF)</w:t>
              </w:r>
            </w:hyperlink>
          </w:p>
        </w:tc>
        <w:tc>
          <w:tcPr>
            <w:tcW w:type="dxa" w:w="4320"/>
          </w:tcPr>
          <w:p>
            <w:r>
              <w:t>Understand OCI underlying security architecture.</w:t>
            </w:r>
          </w:p>
        </w:tc>
      </w:tr>
      <w:tr>
        <w:trPr>
          <w:cantSplit/>
        </w:trPr>
        <w:tc>
          <w:tcPr>
            <w:tcW w:type="dxa" w:w="4320"/>
          </w:tcPr>
          <w:p>
            <w:hyperlink r:id="rId26">
              <w:r>
                <w:rPr>
                  <w:color w:val="0563C1"/>
                  <w:u w:val="single"/>
                </w:rPr>
                <w:t>NIST Zero Trust Architecture — SP 800-207</w:t>
              </w:r>
            </w:hyperlink>
          </w:p>
        </w:tc>
        <w:tc>
          <w:tcPr>
            <w:tcW w:type="dxa" w:w="4320"/>
          </w:tcPr>
          <w:p>
            <w:r>
              <w:t>Enterprise Zero Trust principles and architecture requirements.</w:t>
            </w:r>
          </w:p>
        </w:tc>
      </w:tr>
      <w:tr>
        <w:trPr>
          <w:cantSplit/>
        </w:trPr>
        <w:tc>
          <w:tcPr>
            <w:tcW w:type="dxa" w:w="4320"/>
          </w:tcPr>
          <w:p>
            <w:hyperlink r:id="rId27">
              <w:r>
                <w:rPr>
                  <w:color w:val="0563C1"/>
                  <w:u w:val="single"/>
                </w:rPr>
                <w:t>CIS Oracle Linux Benchmark</w:t>
              </w:r>
            </w:hyperlink>
          </w:p>
        </w:tc>
        <w:tc>
          <w:tcPr>
            <w:tcW w:type="dxa" w:w="4320"/>
          </w:tcPr>
          <w:p>
            <w:r>
              <w:t>Harden Oracle Linux workloads.</w:t>
            </w:r>
          </w:p>
        </w:tc>
      </w:tr>
      <w:tr>
        <w:trPr>
          <w:cantSplit/>
        </w:trPr>
        <w:tc>
          <w:tcPr>
            <w:tcW w:type="dxa" w:w="4320"/>
          </w:tcPr>
          <w:p>
            <w:hyperlink r:id="rId28">
              <w:r>
                <w:rPr>
                  <w:color w:val="0563C1"/>
                  <w:u w:val="single"/>
                </w:rPr>
                <w:t>CIS Oracle Database Benchmark</w:t>
              </w:r>
            </w:hyperlink>
          </w:p>
        </w:tc>
        <w:tc>
          <w:tcPr>
            <w:tcW w:type="dxa" w:w="4320"/>
          </w:tcPr>
          <w:p>
            <w:r>
              <w:t>Harden Oracle Database configurations.</w:t>
            </w:r>
          </w:p>
        </w:tc>
      </w:tr>
    </w:tbl>
    <w:p/>
    <w:p>
      <w:pPr>
        <w:pStyle w:val="Heading1"/>
      </w:pPr>
      <w:r>
        <w:t>4. Ransomware protection and cyber recovery</w:t>
      </w:r>
    </w:p>
    <w:p>
      <w:r>
        <w:t>A DR replica can replicate compromised data. Ransomware recovery therefore requires protected backups and a verified clean recovery process. Select protection mechanisms according to the data service being protected.</w:t>
      </w:r>
    </w:p>
    <w:tbl>
      <w:tblPr>
        <w:tblStyle w:val="LightShading-Accent1"/>
        <w:tblW w:type="auto" w:w="0"/>
        <w:tblLook w:firstColumn="1" w:firstRow="1" w:lastColumn="0" w:lastRow="0" w:noHBand="0" w:noVBand="1" w:val="04A0"/>
      </w:tblPr>
      <w:tblGrid>
        <w:gridCol w:w="4320"/>
        <w:gridCol w:w="4320"/>
      </w:tblGrid>
      <w:tr>
        <w:tc>
          <w:tcPr>
            <w:tcW w:type="dxa" w:w="4320"/>
          </w:tcPr>
          <w:p>
            <w:r>
              <w:t>Reference / clickable link</w:t>
            </w:r>
          </w:p>
        </w:tc>
        <w:tc>
          <w:tcPr>
            <w:tcW w:type="dxa" w:w="4320"/>
          </w:tcPr>
          <w:p>
            <w:r>
              <w:t>Recommended use</w:t>
            </w:r>
          </w:p>
        </w:tc>
      </w:tr>
      <w:tr>
        <w:trPr>
          <w:cantSplit/>
        </w:trPr>
        <w:tc>
          <w:tcPr>
            <w:tcW w:type="dxa" w:w="4320"/>
          </w:tcPr>
          <w:p>
            <w:hyperlink r:id="rId29">
              <w:r>
                <w:rPr>
                  <w:color w:val="0563C1"/>
                  <w:u w:val="single"/>
                </w:rPr>
                <w:t>OCI Cyber Resilient Architectures for Ransomware Protection</w:t>
              </w:r>
            </w:hyperlink>
          </w:p>
        </w:tc>
        <w:tc>
          <w:tcPr>
            <w:tcW w:type="dxa" w:w="4320"/>
          </w:tcPr>
          <w:p>
            <w:r>
              <w:t>Primary OCI cyber resilience architecture and implementation playbook.</w:t>
            </w:r>
          </w:p>
        </w:tc>
      </w:tr>
      <w:tr>
        <w:trPr>
          <w:cantSplit/>
        </w:trPr>
        <w:tc>
          <w:tcPr>
            <w:tcW w:type="dxa" w:w="4320"/>
          </w:tcPr>
          <w:p>
            <w:hyperlink r:id="rId30">
              <w:r>
                <w:rPr>
                  <w:color w:val="0563C1"/>
                  <w:u w:val="single"/>
                </w:rPr>
                <w:t>CISA #StopRansomware Guide</w:t>
              </w:r>
            </w:hyperlink>
          </w:p>
        </w:tc>
        <w:tc>
          <w:tcPr>
            <w:tcW w:type="dxa" w:w="4320"/>
          </w:tcPr>
          <w:p>
            <w:r>
              <w:t>Prevention, detection, incident response, and recovery procedures.</w:t>
            </w:r>
          </w:p>
        </w:tc>
      </w:tr>
      <w:tr>
        <w:trPr>
          <w:cantSplit/>
        </w:trPr>
        <w:tc>
          <w:tcPr>
            <w:tcW w:type="dxa" w:w="4320"/>
          </w:tcPr>
          <w:p>
            <w:hyperlink r:id="rId31">
              <w:r>
                <w:rPr>
                  <w:color w:val="0563C1"/>
                  <w:u w:val="single"/>
                </w:rPr>
                <w:t>OCI Object Storage Retention Rules</w:t>
              </w:r>
            </w:hyperlink>
          </w:p>
        </w:tc>
        <w:tc>
          <w:tcPr>
            <w:tcW w:type="dxa" w:w="4320"/>
          </w:tcPr>
          <w:p>
            <w:r>
              <w:t>Retention and locked-retention controls for protected objects.</w:t>
            </w:r>
          </w:p>
        </w:tc>
      </w:tr>
      <w:tr>
        <w:trPr>
          <w:cantSplit/>
        </w:trPr>
        <w:tc>
          <w:tcPr>
            <w:tcW w:type="dxa" w:w="4320"/>
          </w:tcPr>
          <w:p>
            <w:hyperlink r:id="rId32">
              <w:r>
                <w:rPr>
                  <w:color w:val="0563C1"/>
                  <w:u w:val="single"/>
                </w:rPr>
                <w:t>OCI Block Storage Ransomware-Resilient Backup Protection</w:t>
              </w:r>
            </w:hyperlink>
          </w:p>
        </w:tc>
        <w:tc>
          <w:tcPr>
            <w:tcW w:type="dxa" w:w="4320"/>
          </w:tcPr>
          <w:p>
            <w:r>
              <w:t>Immutable backup protection against premature deletion and retention changes.</w:t>
            </w:r>
          </w:p>
        </w:tc>
      </w:tr>
      <w:tr>
        <w:trPr>
          <w:cantSplit/>
        </w:trPr>
        <w:tc>
          <w:tcPr>
            <w:tcW w:type="dxa" w:w="4320"/>
          </w:tcPr>
          <w:p>
            <w:hyperlink r:id="rId33">
              <w:r>
                <w:rPr>
                  <w:color w:val="0563C1"/>
                  <w:u w:val="single"/>
                </w:rPr>
                <w:t>OCI File Storage Snapshot Locks</w:t>
              </w:r>
            </w:hyperlink>
          </w:p>
        </w:tc>
        <w:tc>
          <w:tcPr>
            <w:tcW w:type="dxa" w:w="4320"/>
          </w:tcPr>
          <w:p>
            <w:r>
              <w:t>Protect snapshots during the required recovery window.</w:t>
            </w:r>
          </w:p>
        </w:tc>
      </w:tr>
      <w:tr>
        <w:trPr>
          <w:cantSplit/>
        </w:trPr>
        <w:tc>
          <w:tcPr>
            <w:tcW w:type="dxa" w:w="4320"/>
          </w:tcPr>
          <w:p>
            <w:hyperlink r:id="rId34">
              <w:r>
                <w:rPr>
                  <w:color w:val="0563C1"/>
                  <w:u w:val="single"/>
                </w:rPr>
                <w:t>Oracle Autonomous Recovery Service Features</w:t>
              </w:r>
            </w:hyperlink>
          </w:p>
        </w:tc>
        <w:tc>
          <w:tcPr>
            <w:tcW w:type="dxa" w:w="4320"/>
          </w:tcPr>
          <w:p>
            <w:r>
              <w:t>Oracle Database backup protection, validation, and retention-lock capabilities.</w:t>
            </w:r>
          </w:p>
        </w:tc>
      </w:tr>
    </w:tbl>
    <w:p/>
    <w:p>
      <w:pPr>
        <w:pStyle w:val="Heading1"/>
      </w:pPr>
      <w:r>
        <w:t>5. High availability, business continuity, and disaster recovery</w:t>
      </w:r>
    </w:p>
    <w:p>
      <w:r>
        <w:t>Choose the architecture against business-approved Recovery Time Objectives (RTO), Recovery Point Objectives (RPO), workload dependencies, and recovery costs.</w:t>
      </w:r>
    </w:p>
    <w:tbl>
      <w:tblPr>
        <w:tblStyle w:val="LightShading-Accent1"/>
        <w:tblW w:type="auto" w:w="0"/>
        <w:tblLook w:firstColumn="1" w:firstRow="1" w:lastColumn="0" w:lastRow="0" w:noHBand="0" w:noVBand="1" w:val="04A0"/>
      </w:tblPr>
      <w:tblGrid>
        <w:gridCol w:w="4320"/>
        <w:gridCol w:w="4320"/>
      </w:tblGrid>
      <w:tr>
        <w:tc>
          <w:tcPr>
            <w:tcW w:type="dxa" w:w="4320"/>
          </w:tcPr>
          <w:p>
            <w:r>
              <w:t>Reference / clickable link</w:t>
            </w:r>
          </w:p>
        </w:tc>
        <w:tc>
          <w:tcPr>
            <w:tcW w:type="dxa" w:w="4320"/>
          </w:tcPr>
          <w:p>
            <w:r>
              <w:t>Recommended use</w:t>
            </w:r>
          </w:p>
        </w:tc>
      </w:tr>
      <w:tr>
        <w:trPr>
          <w:cantSplit/>
        </w:trPr>
        <w:tc>
          <w:tcPr>
            <w:tcW w:type="dxa" w:w="4320"/>
          </w:tcPr>
          <w:p>
            <w:hyperlink r:id="rId35">
              <w:r>
                <w:rPr>
                  <w:color w:val="0563C1"/>
                  <w:u w:val="single"/>
                </w:rPr>
                <w:t>OCI Reliability and Resilience Best Practices</w:t>
              </w:r>
            </w:hyperlink>
          </w:p>
        </w:tc>
        <w:tc>
          <w:tcPr>
            <w:tcW w:type="dxa" w:w="4320"/>
          </w:tcPr>
          <w:p>
            <w:r>
              <w:t>Fault tolerance, capacity, backups, replication, and resilient topology design.</w:t>
            </w:r>
          </w:p>
        </w:tc>
      </w:tr>
      <w:tr>
        <w:trPr>
          <w:cantSplit/>
        </w:trPr>
        <w:tc>
          <w:tcPr>
            <w:tcW w:type="dxa" w:w="4320"/>
          </w:tcPr>
          <w:p>
            <w:hyperlink r:id="rId36">
              <w:r>
                <w:rPr>
                  <w:color w:val="0563C1"/>
                  <w:u w:val="single"/>
                </w:rPr>
                <w:t>OCI Disaster Recovery Guidance</w:t>
              </w:r>
            </w:hyperlink>
          </w:p>
        </w:tc>
        <w:tc>
          <w:tcPr>
            <w:tcW w:type="dxa" w:w="4320"/>
          </w:tcPr>
          <w:p>
            <w:r>
              <w:t>Select backup-and-restore, pilot-light, warm-standby, or active deployment approaches.</w:t>
            </w:r>
          </w:p>
        </w:tc>
      </w:tr>
      <w:tr>
        <w:trPr>
          <w:cantSplit/>
        </w:trPr>
        <w:tc>
          <w:tcPr>
            <w:tcW w:type="dxa" w:w="4320"/>
          </w:tcPr>
          <w:p>
            <w:hyperlink r:id="rId37">
              <w:r>
                <w:rPr>
                  <w:color w:val="0563C1"/>
                  <w:u w:val="single"/>
                </w:rPr>
                <w:t>Oracle Maximum Availability Architecture (MAA)</w:t>
              </w:r>
            </w:hyperlink>
          </w:p>
        </w:tc>
        <w:tc>
          <w:tcPr>
            <w:tcW w:type="dxa" w:w="4320"/>
          </w:tcPr>
          <w:p>
            <w:r>
              <w:t>Database and application availability, data protection, and lifecycle best practices.</w:t>
            </w:r>
          </w:p>
        </w:tc>
      </w:tr>
      <w:tr>
        <w:trPr>
          <w:cantSplit/>
        </w:trPr>
        <w:tc>
          <w:tcPr>
            <w:tcW w:type="dxa" w:w="4320"/>
          </w:tcPr>
          <w:p>
            <w:hyperlink r:id="rId38">
              <w:r>
                <w:rPr>
                  <w:color w:val="0563C1"/>
                  <w:u w:val="single"/>
                </w:rPr>
                <w:t>MAA in OCI</w:t>
              </w:r>
            </w:hyperlink>
          </w:p>
        </w:tc>
        <w:tc>
          <w:tcPr>
            <w:tcW w:type="dxa" w:w="4320"/>
          </w:tcPr>
          <w:p>
            <w:r>
              <w:t>Apply MAA principles to OCI database deployments.</w:t>
            </w:r>
          </w:p>
        </w:tc>
      </w:tr>
    </w:tbl>
    <w:p/>
    <w:p>
      <w:pPr>
        <w:pStyle w:val="Heading1"/>
      </w:pPr>
      <w:r>
        <w:t>6. Security operations, monitoring, performance, and FinOps</w:t>
      </w:r>
    </w:p>
    <w:tbl>
      <w:tblPr>
        <w:tblStyle w:val="LightShading-Accent1"/>
        <w:tblW w:type="auto" w:w="0"/>
        <w:tblLook w:firstColumn="1" w:firstRow="1" w:lastColumn="0" w:lastRow="0" w:noHBand="0" w:noVBand="1" w:val="04A0"/>
      </w:tblPr>
      <w:tblGrid>
        <w:gridCol w:w="4320"/>
        <w:gridCol w:w="4320"/>
      </w:tblGrid>
      <w:tr>
        <w:tc>
          <w:tcPr>
            <w:tcW w:type="dxa" w:w="4320"/>
          </w:tcPr>
          <w:p>
            <w:r>
              <w:t>Reference / clickable link</w:t>
            </w:r>
          </w:p>
        </w:tc>
        <w:tc>
          <w:tcPr>
            <w:tcW w:type="dxa" w:w="4320"/>
          </w:tcPr>
          <w:p>
            <w:r>
              <w:t>Recommended use</w:t>
            </w:r>
          </w:p>
        </w:tc>
      </w:tr>
      <w:tr>
        <w:trPr>
          <w:cantSplit/>
        </w:trPr>
        <w:tc>
          <w:tcPr>
            <w:tcW w:type="dxa" w:w="4320"/>
          </w:tcPr>
          <w:p>
            <w:hyperlink r:id="rId39">
              <w:r>
                <w:rPr>
                  <w:color w:val="0563C1"/>
                  <w:u w:val="single"/>
                </w:rPr>
                <w:t>Enable OCI Security Operations</w:t>
              </w:r>
            </w:hyperlink>
          </w:p>
        </w:tc>
        <w:tc>
          <w:tcPr>
            <w:tcW w:type="dxa" w:w="4320"/>
          </w:tcPr>
          <w:p>
            <w:r>
              <w:t>Establish SecOps, logging, audit retention, SIEM integration, and response responsibilities.</w:t>
            </w:r>
          </w:p>
        </w:tc>
      </w:tr>
      <w:tr>
        <w:trPr>
          <w:cantSplit/>
        </w:trPr>
        <w:tc>
          <w:tcPr>
            <w:tcW w:type="dxa" w:w="4320"/>
          </w:tcPr>
          <w:p>
            <w:hyperlink r:id="rId40">
              <w:r>
                <w:rPr>
                  <w:color w:val="0563C1"/>
                  <w:u w:val="single"/>
                </w:rPr>
                <w:t>OCI Cloud Guard</w:t>
              </w:r>
            </w:hyperlink>
          </w:p>
        </w:tc>
        <w:tc>
          <w:tcPr>
            <w:tcW w:type="dxa" w:w="4320"/>
          </w:tcPr>
          <w:p>
            <w:r>
              <w:t>Detect risky activity and security misconfigurations; configure response actions.</w:t>
            </w:r>
          </w:p>
        </w:tc>
      </w:tr>
      <w:tr>
        <w:trPr>
          <w:cantSplit/>
        </w:trPr>
        <w:tc>
          <w:tcPr>
            <w:tcW w:type="dxa" w:w="4320"/>
          </w:tcPr>
          <w:p>
            <w:hyperlink r:id="rId41">
              <w:r>
                <w:rPr>
                  <w:color w:val="0563C1"/>
                  <w:u w:val="single"/>
                </w:rPr>
                <w:t>OCI Operational Efficiency Best Practices</w:t>
              </w:r>
            </w:hyperlink>
          </w:p>
        </w:tc>
        <w:tc>
          <w:tcPr>
            <w:tcW w:type="dxa" w:w="4320"/>
          </w:tcPr>
          <w:p>
            <w:r>
              <w:t>Deployment, monitoring, OS management, and operational support.</w:t>
            </w:r>
          </w:p>
        </w:tc>
      </w:tr>
      <w:tr>
        <w:trPr>
          <w:cantSplit/>
        </w:trPr>
        <w:tc>
          <w:tcPr>
            <w:tcW w:type="dxa" w:w="4320"/>
          </w:tcPr>
          <w:p>
            <w:hyperlink r:id="rId42">
              <w:r>
                <w:rPr>
                  <w:color w:val="0563C1"/>
                  <w:u w:val="single"/>
                </w:rPr>
                <w:t>OCI Performance and Cost Optimization</w:t>
              </w:r>
            </w:hyperlink>
          </w:p>
        </w:tc>
        <w:tc>
          <w:tcPr>
            <w:tcW w:type="dxa" w:w="4320"/>
          </w:tcPr>
          <w:p>
            <w:r>
              <w:t>Sizing, storage selection, network tuning, and cost management.</w:t>
            </w:r>
          </w:p>
        </w:tc>
      </w:tr>
      <w:tr>
        <w:trPr>
          <w:cantSplit/>
        </w:trPr>
        <w:tc>
          <w:tcPr>
            <w:tcW w:type="dxa" w:w="4320"/>
          </w:tcPr>
          <w:p>
            <w:hyperlink r:id="rId43">
              <w:r>
                <w:rPr>
                  <w:color w:val="0563C1"/>
                  <w:u w:val="single"/>
                </w:rPr>
                <w:t>Cloud Adoption Framework Optimization</w:t>
              </w:r>
            </w:hyperlink>
          </w:p>
        </w:tc>
        <w:tc>
          <w:tcPr>
            <w:tcW w:type="dxa" w:w="4320"/>
          </w:tcPr>
          <w:p>
            <w:r>
              <w:t>Ongoing cost and performance improvement.</w:t>
            </w:r>
          </w:p>
        </w:tc>
      </w:tr>
      <w:tr>
        <w:trPr>
          <w:cantSplit/>
        </w:trPr>
        <w:tc>
          <w:tcPr>
            <w:tcW w:type="dxa" w:w="4320"/>
          </w:tcPr>
          <w:p>
            <w:hyperlink r:id="rId44">
              <w:r>
                <w:rPr>
                  <w:color w:val="0563C1"/>
                  <w:u w:val="single"/>
                </w:rPr>
                <w:t>OCI Distributed Cloud Best Practices</w:t>
              </w:r>
            </w:hyperlink>
          </w:p>
        </w:tc>
        <w:tc>
          <w:tcPr>
            <w:tcW w:type="dxa" w:w="4320"/>
          </w:tcPr>
          <w:p>
            <w:r>
              <w:t>Hybrid and multicloud placement, integration, sovereignty, and operations.</w:t>
            </w:r>
          </w:p>
        </w:tc>
      </w:tr>
    </w:tbl>
    <w:p/>
    <w:p>
      <w:pPr>
        <w:pStyle w:val="Heading1"/>
      </w:pPr>
      <w:r>
        <w:t>7. Recommended EbizonCloud delivery baseline</w:t>
      </w:r>
    </w:p>
    <w:p>
      <w:r>
        <w:t>Recommended internal delivery standard: make the following eight reference groups mandatory for applicable OCI engagements. This is an EbizonCloud recommendation, not a statement that Oracle mandates every reference for every workload.</w:t>
      </w:r>
    </w:p>
    <w:p>
      <w:pPr>
        <w:pStyle w:val="ListBullet"/>
      </w:pPr>
      <w:r>
        <w:t>Well-Architected Framework</w:t>
      </w:r>
    </w:p>
    <w:p>
      <w:pPr>
        <w:pStyle w:val="ListBullet"/>
      </w:pPr>
      <w:r>
        <w:t>Cloud Adoption Framework</w:t>
      </w:r>
    </w:p>
    <w:p>
      <w:pPr>
        <w:pStyle w:val="ListBullet"/>
      </w:pPr>
      <w:r>
        <w:t>Core Landing Zone</w:t>
      </w:r>
    </w:p>
    <w:p>
      <w:pPr>
        <w:pStyle w:val="ListBullet"/>
      </w:pPr>
      <w:r>
        <w:t>OCI Security Checklist</w:t>
      </w:r>
    </w:p>
    <w:p>
      <w:pPr>
        <w:pStyle w:val="ListBullet"/>
      </w:pPr>
      <w:r>
        <w:t>CIS OCI Benchmark</w:t>
      </w:r>
    </w:p>
    <w:p>
      <w:pPr>
        <w:pStyle w:val="ListBullet"/>
      </w:pPr>
      <w:r>
        <w:t>Cyber Resilient Architecture</w:t>
      </w:r>
    </w:p>
    <w:p>
      <w:pPr>
        <w:pStyle w:val="ListBullet"/>
      </w:pPr>
      <w:r>
        <w:t>MAA and disaster recovery guidance</w:t>
      </w:r>
    </w:p>
    <w:p>
      <w:pPr>
        <w:pStyle w:val="ListBullet"/>
      </w:pPr>
      <w:r>
        <w:t>Operational Efficiency best practices</w:t>
      </w:r>
    </w:p>
    <w:p>
      <w:r>
        <w:t>For each applicable control, record the control owner, implementation method, validation evidence, and any approved exception. For greenfield projects, apply these references during design and build gates. For brownfield projects, use them to establish the current-state gap assessment and prioritized remediation plan.</w:t>
      </w:r>
    </w:p>
    <w:p>
      <w:r>
        <w:t>Reference maintenance: confirm current document revisions, service capabilities, and availability before implementation. The linked publications are the authoritative technical sources.</w:t>
      </w:r>
    </w:p>
    <w:sectPr w:rsidR="00FC693F" w:rsidRPr="0006063C" w:rsidSect="00034616">
      <w:headerReference w:type="default" r:id="rId9"/>
      <w:footerReference w:type="default" r:id="rId45"/>
      <w:pgSz w:w="12240" w:h="15840"/>
      <w:pgMar w:top="1008" w:right="1800" w:bottom="1008"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EbizonCloud | OCI Best Practices Reference Guide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EBIZONCLOUD  |  OCI ARCHITECTURE REFERENCES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yperlink" Target="https://docs.oracle.com/en/solutions/oci-best-practices/index.html" TargetMode="External"/><Relationship Id="rId11" Type="http://schemas.openxmlformats.org/officeDocument/2006/relationships/hyperlink" Target="https://www.oracle.com/cloud/architecture-center/" TargetMode="External"/><Relationship Id="rId12" Type="http://schemas.openxmlformats.org/officeDocument/2006/relationships/hyperlink" Target="https://well-architected.oracle.com/" TargetMode="External"/><Relationship Id="rId13" Type="http://schemas.openxmlformats.org/officeDocument/2006/relationships/hyperlink" Target="https://docs.oracle.com/en-us/iaas/Content/cloud-adoption-framework/home.htm" TargetMode="External"/><Relationship Id="rId14" Type="http://schemas.openxmlformats.org/officeDocument/2006/relationships/hyperlink" Target="https://www.oracle.com/cloud/oci-best-practices-guide/" TargetMode="External"/><Relationship Id="rId15" Type="http://schemas.openxmlformats.org/officeDocument/2006/relationships/hyperlink" Target="https://docs.oracle.com/en/solutions/foundational-oci-governance-model/index.html" TargetMode="External"/><Relationship Id="rId16" Type="http://schemas.openxmlformats.org/officeDocument/2006/relationships/hyperlink" Target="https://docs.oracle.com/en-us/iaas/Content/cloud-adoption-framework/oci-landing-zones-overview.htm" TargetMode="External"/><Relationship Id="rId17" Type="http://schemas.openxmlformats.org/officeDocument/2006/relationships/hyperlink" Target="https://docs.oracle.com/en-us/iaas/Content/cloud-adoption-framework/oci-core-landing-zone.htm" TargetMode="External"/><Relationship Id="rId18" Type="http://schemas.openxmlformats.org/officeDocument/2006/relationships/hyperlink" Target="https://docs.oracle.com/en-us/iaas/Content/Security/Concepts/security_overview.htm" TargetMode="External"/><Relationship Id="rId19" Type="http://schemas.openxmlformats.org/officeDocument/2006/relationships/hyperlink" Target="https://docs.oracle.com/en-us/iaas/Content/cloud-adoption-framework/oci-shared-responsibility.htm" TargetMode="External"/><Relationship Id="rId20" Type="http://schemas.openxmlformats.org/officeDocument/2006/relationships/hyperlink" Target="https://docs.oracle.com/en/solutions/oci-security-checklist/index.html" TargetMode="External"/><Relationship Id="rId21" Type="http://schemas.openxmlformats.org/officeDocument/2006/relationships/hyperlink" Target="https://www.cisecurity.org/benchmark/Oracle_Cloud" TargetMode="External"/><Relationship Id="rId22" Type="http://schemas.openxmlformats.org/officeDocument/2006/relationships/hyperlink" Target="https://docs.oracle.com/en/solutions/oci-best-practices/effective-strategies-security-and-compliance1.html" TargetMode="External"/><Relationship Id="rId23" Type="http://schemas.openxmlformats.org/officeDocument/2006/relationships/hyperlink" Target="https://docs.oracle.com/en-us/iaas/Content/Security/Reference/configuration_security.htm" TargetMode="External"/><Relationship Id="rId24" Type="http://schemas.openxmlformats.org/officeDocument/2006/relationships/hyperlink" Target="https://docs.oracle.com/en-us/iaas/Content/cloud-adoption-framework/quick-links-security.htm" TargetMode="External"/><Relationship Id="rId25" Type="http://schemas.openxmlformats.org/officeDocument/2006/relationships/hyperlink" Target="https://www.oracle.com/a/ocom/docs/oracle-cloud-infrastructure-security-architecture.pdf" TargetMode="External"/><Relationship Id="rId26" Type="http://schemas.openxmlformats.org/officeDocument/2006/relationships/hyperlink" Target="https://www.nist.gov/publications/zero-trust-architecture" TargetMode="External"/><Relationship Id="rId27" Type="http://schemas.openxmlformats.org/officeDocument/2006/relationships/hyperlink" Target="https://www.cisecurity.org/benchmark/oracle_linux" TargetMode="External"/><Relationship Id="rId28" Type="http://schemas.openxmlformats.org/officeDocument/2006/relationships/hyperlink" Target="https://www.cisecurity.org/benchmark/oracle_database" TargetMode="External"/><Relationship Id="rId29" Type="http://schemas.openxmlformats.org/officeDocument/2006/relationships/hyperlink" Target="https://docs.oracle.com/en/solutions/oci-tenancy-cyber-resilience-architecture/" TargetMode="External"/><Relationship Id="rId30" Type="http://schemas.openxmlformats.org/officeDocument/2006/relationships/hyperlink" Target="https://www.cisa.gov/stopransomware/ransomware-guide" TargetMode="External"/><Relationship Id="rId31" Type="http://schemas.openxmlformats.org/officeDocument/2006/relationships/hyperlink" Target="https://docs.oracle.com/en-us/iaas/Content/Object/Tasks/usingretentionrules.htm" TargetMode="External"/><Relationship Id="rId32" Type="http://schemas.openxmlformats.org/officeDocument/2006/relationships/hyperlink" Target="https://docs.oracle.com/en-us/iaas/releasenotes/blockvolume/retention-lock.htm" TargetMode="External"/><Relationship Id="rId33" Type="http://schemas.openxmlformats.org/officeDocument/2006/relationships/hyperlink" Target="https://docs.oracle.com/en-us/iaas/Content/File/Tasks/snapshot_lock_overview.htm" TargetMode="External"/><Relationship Id="rId34" Type="http://schemas.openxmlformats.org/officeDocument/2006/relationships/hyperlink" Target="https://www.oracle.com/database/zero-data-loss-autonomous-recovery-service/features/" TargetMode="External"/><Relationship Id="rId35" Type="http://schemas.openxmlformats.org/officeDocument/2006/relationships/hyperlink" Target="https://docs.oracle.com/en/solutions/oci-best-practices/reliable-and-resilient-cloud-topology-practices1.html" TargetMode="External"/><Relationship Id="rId36" Type="http://schemas.openxmlformats.org/officeDocument/2006/relationships/hyperlink" Target="https://docs.oracle.com/en-us/iaas/Content/cloud-adoption-framework/disaster-recovery.htm" TargetMode="External"/><Relationship Id="rId37" Type="http://schemas.openxmlformats.org/officeDocument/2006/relationships/hyperlink" Target="https://www.oracle.com/database/maximum-availability-architecture/" TargetMode="External"/><Relationship Id="rId38" Type="http://schemas.openxmlformats.org/officeDocument/2006/relationships/hyperlink" Target="https://docs.oracle.com/en-us/iaas/Content/Database/Concepts/maxavailarch.htm" TargetMode="External"/><Relationship Id="rId39" Type="http://schemas.openxmlformats.org/officeDocument/2006/relationships/hyperlink" Target="https://docs.oracle.com/en-us/iaas/Content/cloud-adoption-framework/security-strategy.htm" TargetMode="External"/><Relationship Id="rId40" Type="http://schemas.openxmlformats.org/officeDocument/2006/relationships/hyperlink" Target="https://docs.oracle.com/en-us/iaas/Content/cloud-guard/home.htm" TargetMode="External"/><Relationship Id="rId41" Type="http://schemas.openxmlformats.org/officeDocument/2006/relationships/hyperlink" Target="https://docs.oracle.com/en/solutions/oci-best-practices/best-practices-operating-cloud-deployments-efficiency.html" TargetMode="External"/><Relationship Id="rId42" Type="http://schemas.openxmlformats.org/officeDocument/2006/relationships/hyperlink" Target="https://docs.oracle.com/en/solutions/oci-best-practices/performance-efficiency-and-cost-optimization-practices.html" TargetMode="External"/><Relationship Id="rId43" Type="http://schemas.openxmlformats.org/officeDocument/2006/relationships/hyperlink" Target="https://docs.oracle.com/en-us/iaas/Content/cloud-adoption-framework/optimization.htm" TargetMode="External"/><Relationship Id="rId44" Type="http://schemas.openxmlformats.org/officeDocument/2006/relationships/hyperlink" Target="https://docs.oracle.com/en/solutions/oci-best-practices/effective-strategies-distributed-cloud-implementation1.html" TargetMode="External"/><Relationship Id="rId45"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