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 w:before="1300"/>
      </w:pPr>
      <w:r>
        <w:rPr>
          <w:rFonts w:ascii="Calibri" w:cs="Calibri" w:eastAsia="Calibri" w:hAnsi="Calibri"/>
          <w:b/>
          <w:bCs/>
          <w:color w:val="6B6560"/>
          <w:sz w:val="20"/>
          <w:szCs w:val="20"/>
        </w:rPr>
        <w:t xml:space="preserve">ENTERPRISE — ORACLE CLOUD PROGRAM — VOLUME 11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C74634"/>
          <w:sz w:val="50"/>
          <w:szCs w:val="50"/>
        </w:rPr>
        <w:t xml:space="preserve">FDI Strategy, Topology &amp; Design</w:t>
      </w:r>
    </w:p>
    <w:p>
      <w:pPr>
        <w:spacing w:after="300"/>
      </w:pPr>
      <w:r>
        <w:rPr>
          <w:rFonts w:ascii="Calibri" w:cs="Calibri" w:eastAsia="Calibri" w:hAnsi="Calibri"/>
          <w:color w:val="312D2A"/>
          <w:sz w:val="26"/>
          <w:szCs w:val="26"/>
        </w:rPr>
        <w:t xml:space="preserve">Oracle Fusion Data Intelligence for the organization's Fusion estate (D20)</w:t>
      </w:r>
    </w:p>
    <w:p>
      <w:pPr>
        <w:spacing w:after="140"/>
      </w:pPr>
      <w:r>
        <w:rPr>
          <w:rFonts w:ascii="Calibri" w:cs="Calibri" w:eastAsia="Calibri" w:hAnsi="Calibri"/>
          <w:color w:val="6B6560"/>
          <w:sz w:val="22"/>
          <w:szCs w:val="22"/>
        </w:rPr>
        <w:t xml:space="preserve">Defines how the organization adopts Oracle Fusion Data Intelligence (FDI) as the single governed analytics path from Fusion: the strategy pillars, the two-instance topology inside a dedicated Analytics compartment, the data and semantic architecture (including the landing place for legacy history), identity and security wired to the per-environment identity domain model (D17 / CR-IDN-001 rev 2), the augmentation/ETL design for non-Fusion sources, operations and release management, and the governance register FD-01…FD-09. Draft for Cloud Governance Board review.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6560"/>
          <w:sz w:val="20"/>
          <w:szCs w:val="20"/>
        </w:rPr>
        <w:t xml:space="preserve">Status: v1.0 DRAFT  |  Author: Enterprise Cloud Architect (OCI)  |  September 2026  |  Classification: Internal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1. Strategy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FDI is Oracle's managed analytics application for Fusion: prebuilt incremental pipelines, a prebuilt warehouse (ADW) and semantic model, and prebuilt ERP/HCM KPIs and dashboards (OAC), maintained by Oracle release-over-release. The strategic choice is to treat FDI as the analytics system of record for everything Fusion-derived, and to make the estate's other analytics needs consume FDI rather than compete with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FD-01 — One extract path: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FDI's managed pipelines are the ONLY extract from Fusion. Any other analytics need — Power BI, a future lake, a partner report — consumes FDI/ADW curated schemas, never a second Fusion extract. (Same rule already ratified for multi-cloud: MC-03/§8 of Vol. 9.)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FD-02 — Prebuilt first: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adopt ERP Analytics and HCM Analytics prebuilt content as-is; extend additively via semantic model extensions and custom subject areas. Never fork or modify prebuilt objects — forks break on every FDI release.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FD-03 — Two instances only: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FDI-NP attached to the Fusion test pod (fa-&lt;realm&gt;-test) and FDI-PRD attached to production (fa-&lt;realm&gt;-prod). Dev pods get no FDI — development and validation of extensions happens in FDI-NP. This matches FDI licensing and operational reality: it is environment-attached, not per-developer.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FD-04 — Security inherited, never duplicated: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FDI auto-synchronises users, roles and data security from its source pod. No local grants in FDI/OAC; access is governed upstream (Fusion roles ← Entra groups ← the D17 mapping chain).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FD-05 — Legacy history lands here, not in Fusion: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the legacy ERP retires at go-live and only master data + opening balances migrate to Fusion. Historical legacy-ERP reporting data belongs in the FDI warehouse layer as a modeled, owned schema (DW_HIST) — Fusion stays clean, and historical + current reporting meet in one semantic layer.</w:t>
      </w:r>
    </w:p>
    <w:p>
      <w:pPr>
        <w:pStyle w:val="Heading3"/>
        <w:spacing w:after="90" w:before="17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What FDI is NOT (guardrails)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Not a transactional system (no writes except pipelines and governed augmentation loads); not an integration hub (OIC owns app-to-app; FDI owns analytics); not an archive dump (DW_HIST is modeled, owned, with retention rules); not open SQL (every non-FDI consumer is a named, read-only account on curated schemas); not per-dev-pod (Dev1–Dev4 validate against FDI-NP).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2. Target Architecture and Topology (D20)</w:t>
      </w:r>
    </w:p>
    <w:p>
      <w:pPr>
        <w:spacing w:after="120" w:before="40"/>
        <w:jc w:val="center"/>
      </w:pPr>
      <w:r>
        <w:drawing>
          <wp:inline distT="0" distB="0" distL="0" distR="0">
            <wp:extent cx="8096250" cy="5791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3. Topology and Placement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50"/>
        <w:gridCol w:w="3610"/>
      </w:tblGrid>
      <w:tr>
        <w:trPr>
          <w:tblHeader/>
        </w:trP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Element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FDI-NP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FDI-PRD</w:t>
            </w:r>
          </w:p>
        </w:tc>
      </w:tr>
      <w:t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Source pod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fa-&lt;realm&gt;-test (SIT/UAT/TRN phases)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fa-&lt;realm&gt;-prod (production, from go-live cutover)</w:t>
            </w:r>
          </w:p>
        </w:tc>
      </w:tr>
      <w:t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Compartment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Analytics (Security Zone: Analytics) — to be created in Wave 1; does not exist in the current tree (D19)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same compartment; separate child compartments Analytics::NonProd / Analytics::Prod if quota/policy separation is wanted</w:t>
            </w:r>
          </w:p>
        </w:tc>
      </w:tr>
      <w:t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Region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the primary region (with the estate)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the primary region</w:t>
            </w:r>
          </w:p>
        </w:tc>
      </w:tr>
      <w:t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ADW access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private endpoint in the Analytics subnet; NSG allows 1522 from named consumer paths only; no public SQL; masked on refresh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private endpoint; NSG as NP; Data Safe audit + assessment; no masking</w:t>
            </w:r>
          </w:p>
        </w:tc>
      </w:tr>
      <w:t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Analytics UX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OAC embedded with the FDI instance; browser access over HTTPS via SSO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same</w:t>
            </w:r>
          </w:p>
        </w:tc>
      </w:tr>
      <w:t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SSO / identity domain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DOM-TEST (per D17/D18 rev 2)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DOM-PROD (strict CA + PIM for admins)</w:t>
            </w:r>
          </w:p>
        </w:tc>
      </w:tr>
      <w:tr>
        <w:tc>
          <w:tcPr>
            <w:tcW w:type="dxa" w:w="2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Sizing (initial)</w:t>
            </w:r>
          </w:p>
        </w:tc>
        <w:tc>
          <w:tcPr>
            <w:tcW w:type="dxa" w:w="345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smallest shape; ECPU auto-scaling capped; grow on evidence</w:t>
            </w:r>
          </w:p>
        </w:tc>
        <w:tc>
          <w:tcPr>
            <w:tcW w:type="dxa" w:w="361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sized from NP observation before go-live; auto-scaling capped; budget alarm on the compartment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Network note: the Analytics subnet lives in the environment VCN plan (PRD VCN 10.40.x per the ratified CIDR plan; NP consumption over the corporate path). The as-built SIT network (172.24.2.0/24 exception) is not a dependency — FDI's own private endpoints are new, governed placements.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4. Data and Semantic Architecture</w:t>
      </w:r>
    </w:p>
    <w:p>
      <w:pPr>
        <w:pStyle w:val="Heading3"/>
        <w:spacing w:after="90" w:before="17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4.1 Layers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300"/>
        <w:gridCol w:w="3460"/>
      </w:tblGrid>
      <w:tr>
        <w:trPr>
          <w:tblHeader/>
        </w:trP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Layer</w:t>
            </w:r>
          </w:p>
        </w:tc>
        <w:tc>
          <w:tcPr>
            <w:tcW w:type="dxa" w:w="43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Content</w:t>
            </w:r>
          </w:p>
        </w:tc>
        <w:tc>
          <w:tcPr>
            <w:tcW w:type="dxa" w:w="3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Rules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Source</w:t>
            </w:r>
          </w:p>
        </w:tc>
        <w:tc>
          <w:tcPr>
            <w:tcW w:type="dxa" w:w="43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Fusion ERP + HCM (pipeline-extracted); EPM and non-Fusion sources via staging (§6)</w:t>
            </w:r>
          </w:p>
        </w:tc>
        <w:tc>
          <w:tcPr>
            <w:tcW w:type="dxa" w:w="3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Fusion is the transactional source of truth; nothing writes back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Pipeline</w:t>
            </w:r>
          </w:p>
        </w:tc>
        <w:tc>
          <w:tcPr>
            <w:tcW w:type="dxa" w:w="43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FDI managed incremental extracts (functional areas activated per module scope)</w:t>
            </w:r>
          </w:p>
        </w:tc>
        <w:tc>
          <w:tcPr>
            <w:tcW w:type="dxa" w:w="3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no custom extract code; activation list is a governed configuration item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Warehouse (ADW)</w:t>
            </w:r>
          </w:p>
        </w:tc>
        <w:tc>
          <w:tcPr>
            <w:tcW w:type="dxa" w:w="43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prebuilt DW schema (star models, KPIs) + custom schemas: DW_CUST (extensions), DW_HIST (legacy history), DW_STG (augmentation landing)</w:t>
            </w:r>
          </w:p>
        </w:tc>
        <w:tc>
          <w:tcPr>
            <w:tcW w:type="dxa" w:w="3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prebuilt schema never modified; custom schemas owned, modeled, documented; STG is transient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Semantic</w:t>
            </w:r>
          </w:p>
        </w:tc>
        <w:tc>
          <w:tcPr>
            <w:tcW w:type="dxa" w:w="43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prebuilt subject areas + governed extensions (joins to DW_CUST/_HIST)</w:t>
            </w:r>
          </w:p>
        </w:tc>
        <w:tc>
          <w:tcPr>
            <w:tcW w:type="dxa" w:w="3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extensions additive; promoted NP → PRD via release process (§7)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Presentation</w:t>
            </w:r>
          </w:p>
        </w:tc>
        <w:tc>
          <w:tcPr>
            <w:tcW w:type="dxa" w:w="43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prebuilt ERP/HCM dashboards + custom OAC workbooks; curated read-only views for Power BI</w:t>
            </w:r>
          </w:p>
        </w:tc>
        <w:tc>
          <w:tcPr>
            <w:tcW w:type="dxa" w:w="3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external consumers see curated views only, never DW internals</w:t>
            </w:r>
          </w:p>
        </w:tc>
      </w:tr>
    </w:tbl>
    <w:p>
      <w:pPr>
        <w:pStyle w:val="Heading3"/>
        <w:spacing w:after="90" w:before="17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4.2 legacy history (the migration-strategy tie-in)</w:t>
      </w:r>
    </w:p>
    <w:p>
      <w:pPr>
        <w:spacing w:after="14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>Program rule: no legacy-ERP transactional data migrates into Fusion. The reporting need for that history is met in FDI: a one-time (or few-batch) extract of the legacy ERP reporting entities lands via Object Storage into DW_STG, is transformed into the modeled DW_HIST schema (conformed to FDI dimensions where join-worthy: chart of accounts, projects, suppliers, employees), and is exposed through semantic extensions so users see 'history + current' in one place. DW_HIST has a named owner, a retention rule, and a documented lineage — it is a designed schema, not a dump (guardrail).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5. Identity and Security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Human access: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FDI/OAC sign-in rides the environment identity domain (FDI-PRD → DOM-PROD, FDI-NP → DOM-TEST), i.e. Entra SSO with Conditional Access + MFA per CR-IDN-001 rev 2. FDI application roles (author, consumer, admin) map to CORP-FA-&lt;ENV&gt;-FDI* Entra groups through the standard chain; object and data security inside the analytics content is synchronised from the source pod's Fusion roles (FD-04).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FDI administrators: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service administration (pipeline config, activation, releases) is a named, small group — CORP-FA-&lt;ENV&gt;-FDIAdmin — PIM-eligible for PRD. No standing admin in production.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Power BI / external SQL consumers: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named read-only database users per consumer (not shared), grants only on curated views, wallet stored in Vault and rotated, network path via private endpoint / corporate allow-list. Usage reviewed in the quarterly certification alongside domain groups.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Platform controls: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Analytics Security Zone (no public ADW, encryption enforced), Cloud Guard enrolled, Data Safe registered on both ADWs (audit + assessment; masking applied to FDI-NP data on refresh where required by data classification), Vault for wallets/secrets, Governance tag namespace applied (Application=FDI, Environment, DataClassification, Owner, CostCenter).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Data classification: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HCM content makes FDI-PRD a Confidential-class system by default — access certification includes HCM subject areas explicitly, and any CMMC/FCI-scoped data is excluded from FDI unless the Regulated enclave review approves it (RegulatoryScope tag queryable).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6. Augmentation and ETL (non-Fusion sources)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600"/>
        <w:gridCol w:w="2400"/>
        <w:gridCol w:w="2460"/>
      </w:tblGrid>
      <w:tr>
        <w:trPr>
          <w:tblHeader/>
        </w:trPr>
        <w:tc>
          <w:tcPr>
            <w:tcW w:type="dxa" w:w="18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Source</w:t>
            </w:r>
          </w:p>
        </w:tc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Path</w:t>
            </w:r>
          </w:p>
        </w:tc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Target</w:t>
            </w:r>
          </w:p>
        </w:tc>
        <w:tc>
          <w:tcPr>
            <w:tcW w:type="dxa" w:w="2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Notes / flow register</w:t>
            </w:r>
          </w:p>
        </w:tc>
      </w:tr>
      <w:tr>
        <w:tc>
          <w:tcPr>
            <w:tcW w:type="dxa" w:w="18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legacy-ERP history (one-time)</w:t>
            </w:r>
          </w:p>
        </w:tc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controlled export → Object Storage analytics-staging (versioned bucket) → load to DW_STG → transform to DW_HIST</w:t>
            </w:r>
          </w:p>
        </w:tc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DW_HIST</w:t>
            </w:r>
          </w:p>
        </w:tc>
        <w:tc>
          <w:tcPr>
            <w:tcW w:type="dxa" w:w="2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FD-F1; one-time with re-run capability; lineage documented</w:t>
            </w:r>
          </w:p>
        </w:tc>
      </w:tr>
      <w:tr>
        <w:tc>
          <w:tcPr>
            <w:tcW w:type="dxa" w:w="18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EPM (Partner-B)</w:t>
            </w:r>
          </w:p>
        </w:tc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OIC/CSV extract of planning/consolidation results where reporting needs them beside actuals</w:t>
            </w:r>
          </w:p>
        </w:tc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DW_CUST</w:t>
            </w:r>
          </w:p>
        </w:tc>
        <w:tc>
          <w:tcPr>
            <w:tcW w:type="dxa" w:w="2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FD-F2; confirm requirement with EPM team — not an FDI pipeline today</w:t>
            </w:r>
          </w:p>
        </w:tc>
      </w:tr>
      <w:tr>
        <w:tc>
          <w:tcPr>
            <w:tcW w:type="dxa" w:w="18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the payroll system (payroll, until HCM payroll live)</w:t>
            </w:r>
          </w:p>
        </w:tc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existing bucket feed → governed load via OIC/Data Transforms</w:t>
            </w:r>
          </w:p>
        </w:tc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DW_STG → CUST</w:t>
            </w:r>
          </w:p>
        </w:tc>
        <w:tc>
          <w:tcPr>
            <w:tcW w:type="dxa" w:w="2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FD-F3; today's ad-hoc Payroll_Bucket flow is regularised (versioning, owner, tags)</w:t>
            </w:r>
          </w:p>
        </w:tc>
      </w:tr>
      <w:tr>
        <w:tc>
          <w:tcPr>
            <w:tcW w:type="dxa" w:w="18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Legacy-ERP-HCM (legacy)</w:t>
            </w:r>
          </w:p>
        </w:tc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existing bucket feed → governed load</w:t>
            </w:r>
          </w:p>
        </w:tc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DW_STG → CUST/HIST</w:t>
            </w:r>
          </w:p>
        </w:tc>
        <w:tc>
          <w:tcPr>
            <w:tcW w:type="dxa" w:w="2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FD-F4; disposition with the Partner-A data-conversion team</w:t>
            </w:r>
          </w:p>
        </w:tc>
      </w:tr>
      <w:tr>
        <w:tc>
          <w:tcPr>
            <w:tcW w:type="dxa" w:w="18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Future sources</w:t>
            </w:r>
          </w:p>
        </w:tc>
        <w:tc>
          <w:tcPr>
            <w:tcW w:type="dxa" w:w="26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OIC or Data Transforms only; land in STG; register the flow before build</w:t>
            </w:r>
          </w:p>
        </w:tc>
        <w:tc>
          <w:tcPr>
            <w:tcW w:type="dxa" w:w="24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per design</w:t>
            </w:r>
          </w:p>
        </w:tc>
        <w:tc>
          <w:tcPr>
            <w:tcW w:type="dxa" w:w="24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FD-07 rule — an unregistered augmentation flow does not exist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312D2A"/>
          <w:sz w:val="20"/>
          <w:szCs w:val="20"/>
        </w:rPr>
        <w:t xml:space="preserve">Tooling rule: OIC (or FDI Data Transforms) is the ETL vehicle; no hand-rolled scripts on compute instances. Every augmentation flow gets a flow-register entry (Vol. 7 discipline) with hop-by-hop controls, an owner, and a schedule.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7. Environments, Refresh and Release Management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Pipeline schedule: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daily incremental refresh per instance (off-hours), with per-functional-area activation kept identical between NP and PRD except during release testing. Pipeline failure raises an alarm to the ops queue (not email-only).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FDI release train: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Oracle updates FDI on its own cadence. FDI-NP takes the update first (preview window where offered); prebuilt-content regression and extension compatibility are verified for ≥ 2 weeks before FDI-PRD updates (FD-08). Extensions and custom workbooks promote NP → PRD via export/import with a change record — never rebuilt by hand in PRD.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Interplay with Fusion P2T refreshes: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when the test pod is refreshed from production, FDI-NP is re-pointed/re-extracted per the post-refresh runbook (data reset, masking re-applied, extension smoke test). Add this step to the existing P2T checklist so analytics is never silently stale after a refresh.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Go-live sequence: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FDI-PRD is provisioned against fa-&lt;realm&gt;-prod before cutover but activated for business consumption at go-live +1 refresh cycle; FDI-NP remains the permanent release-test bed afterwards.</w:t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8. Operations, Observability and DR Posture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Monitoring: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pipeline status, refresh lag (data currency SLO: business day-1 by 07:00 ET), ADW utilisation/auto-scale events, OAC availability — dashboards + alarms into the standard observability stack; monthly review alongside FinOps.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Backup: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ADW automatic backups apply; custom schemas (CUST/HIST) additionally export-dumped to Object Storage on change milestones (history load, extension releases).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DR posture (FD-09):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FDI is a derived system — the source of truth is Fusion. Posture: re-provision + re-extract in-region (or cross-region if the estate invokes DR), RTO measured in days, RPO bounded by the last Fusion state. This is an accepted, documented posture in the Vol. 8 DR register; the only unique data at risk is DW_HIST/CUST, which is covered by the §8 exports. No Full Stack DR membership for FDI.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FinOps: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budgets + quotas on the Analytics compartment; FDI subscription (per-user + capacity) tracked as a distinct cost line; auto-scaling caps on both ADWs; the 'silent growth' watch item is Power BI extract patterns — curated views keep them cheap and visible.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9. Governance Register and Roadmap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8160"/>
      </w:tblGrid>
      <w:tr>
        <w:trPr>
          <w:tblHeader/>
        </w:trP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ID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Rule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FD-01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Single extract path: FDI pipelines are the only Fusion extract; all other analytics consume FDI/ADW curated schemas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FD-02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Prebuilt first: prebuilt pipelines/model/content adopted as-is; extensions additive; no forks of prebuilt objects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FD-03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Two instances: FDI-NP ← test pod, FDI-PRD ← prod pod; no per-dev-pod FDI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FD-04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Security inherited: users/roles/data security synced from the source pod; no local grants in FDI/OAC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FD-05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Legacy history lives in the warehouse layer (DW_HIST), modeled and owned — never loaded into Fusion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FD-06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Every non-FDI consumer is a named, read-only account on curated schemas; wallet in Vault; path private/allow-listed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FD-07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Every augmentation source is flow-registered (owner, schedule, controls) before it is built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FD-08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Release train: FDI updates and extension promotions prove out in FDI-NP ≥ 2 weeks before FDI-PRD</w:t>
            </w:r>
          </w:p>
        </w:tc>
      </w:tr>
      <w:tr>
        <w:tc>
          <w:tcPr>
            <w:tcW w:type="dxa" w:w="11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FD-09</w:t>
            </w:r>
          </w:p>
        </w:tc>
        <w:tc>
          <w:tcPr>
            <w:tcW w:type="dxa" w:w="81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DR posture: re-provision + re-extract; RTO days; unique schemas protected by exports — accepted and recorded in Vol. 8</w:t>
            </w:r>
          </w:p>
        </w:tc>
      </w:tr>
    </w:tbl>
    <w:p>
      <w:pPr>
        <w:pStyle w:val="Heading3"/>
        <w:spacing w:after="90" w:before="170"/>
      </w:pPr>
      <w:r>
        <w:rPr>
          <w:rFonts w:ascii="Calibri" w:cs="Calibri" w:eastAsia="Calibri" w:hAnsi="Calibri"/>
          <w:b/>
          <w:bCs/>
          <w:color w:val="6B6560"/>
          <w:sz w:val="22"/>
          <w:szCs w:val="22"/>
        </w:rPr>
        <w:t xml:space="preserve">Phased roadmap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200"/>
        <w:gridCol w:w="3560"/>
      </w:tblGrid>
      <w:tr>
        <w:trPr>
          <w:tblHeader/>
        </w:trP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4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Work</w:t>
            </w:r>
          </w:p>
        </w:tc>
        <w:tc>
          <w:tcPr>
            <w:tcW w:type="dxa" w:w="3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C74634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Exit criteria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P0 — Foundations</w:t>
            </w:r>
          </w:p>
        </w:tc>
        <w:tc>
          <w:tcPr>
            <w:tcW w:type="dxa" w:w="4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Analytics compartment + Security Zone; Analytics subnet + PEs; Vault, Data Safe, budgets; provision FDI-NP against test pod; wire SSO via DOM-TEST</w:t>
            </w:r>
          </w:p>
        </w:tc>
        <w:tc>
          <w:tcPr>
            <w:tcW w:type="dxa" w:w="3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FDI-NP reachable via SSO; pipelines green on activated areas; controls verified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P1 — Validate</w:t>
            </w:r>
          </w:p>
        </w:tc>
        <w:tc>
          <w:tcPr>
            <w:tcW w:type="dxa" w:w="4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Prebuilt ERP+HCM content validated with SIT/UAT data; data-currency SLO measured; Power BI pilot on one curated view</w:t>
            </w:r>
          </w:p>
        </w:tc>
        <w:tc>
          <w:tcPr>
            <w:tcW w:type="dxa" w:w="3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Business sign-off on prebuilt KPIs; pilot consumer live under FD-06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P2 — Extend</w:t>
            </w:r>
          </w:p>
        </w:tc>
        <w:tc>
          <w:tcPr>
            <w:tcW w:type="dxa" w:w="4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Semantic extensions for organization-specific KPIs; legacy-ERP history extract → DW_HIST; payroll/legacy-ERP feeds regularised</w:t>
            </w:r>
          </w:p>
        </w:tc>
        <w:tc>
          <w:tcPr>
            <w:tcW w:type="dxa" w:w="3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5F0EA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History queryable beside current data; flows FD-F1..F4 registered and green</w:t>
            </w:r>
          </w:p>
        </w:tc>
      </w:tr>
      <w:tr>
        <w:tc>
          <w:tcPr>
            <w:tcW w:type="dxa" w:w="15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P3 — Production</w:t>
            </w:r>
          </w:p>
        </w:tc>
        <w:tc>
          <w:tcPr>
            <w:tcW w:type="dxa" w:w="420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Provision FDI-PRD ← fa-&lt;realm&gt;-prod; promote extensions; activate at go-live +1 cycle; NP becomes release-test bed</w:t>
            </w:r>
          </w:p>
        </w:tc>
        <w:tc>
          <w:tcPr>
            <w:tcW w:type="dxa" w:w="3560"/>
            <w:tcBorders>
              <w:top w:val="single" w:color="D9D2CA" w:sz="4"/>
              <w:left w:val="single" w:color="D9D2CA" w:sz="4"/>
              <w:bottom w:val="single" w:color="D9D2CA" w:sz="4"/>
              <w:right w:val="single" w:color="D9D2CA" w:sz="4"/>
            </w:tcBorders>
            <w:shd w:fill="FFFFFF" w:val="clear"/>
            <w:tcMar>
              <w:top w:type="dxa" w:w="50"/>
              <w:left w:type="dxa" w:w="85"/>
              <w:bottom w:type="dxa" w:w="50"/>
              <w:right w:type="dxa" w:w="8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color w:val="312D2A"/>
                <w:sz w:val="18"/>
                <w:szCs w:val="18"/>
              </w:rPr>
              <w:t xml:space="preserve">PRD refresh green; certification includes FDI groups; FD register all green</w:t>
            </w:r>
          </w:p>
        </w:tc>
      </w:tr>
    </w:tbl>
    <w:p>
      <w:pPr>
        <w:pStyle w:val="Heading1"/>
        <w:spacing w:after="150" w:before="300"/>
      </w:pPr>
      <w:r>
        <w:rPr>
          <w:rFonts w:ascii="Calibri" w:cs="Calibri" w:eastAsia="Calibri" w:hAnsi="Calibri"/>
          <w:b/>
          <w:bCs/>
          <w:color w:val="C74634"/>
          <w:sz w:val="30"/>
          <w:szCs w:val="30"/>
        </w:rPr>
        <w:t xml:space="preserve">10. Dependencies, Decisions and Open Items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Compartment: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the Analytics compartment does not exist in the current tree (D19) — created in the Wave-1 Terraform build before FDI-NP provisioning. Do not place FDI in legacy PaaS/Shared_Services branches.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Identity sequencing: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land CR-IDN-001 rev 2 (DOM-TEST/PROD domains) before FDI SSO wiring, so federation is configured once. If FDI-NP must start earlier, wire it to the interim state and re-point with the W3 fan-out.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Vault (F11):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prerequisite for wallets, SCIM and consumer secrets.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R-01 (CX vs SCM pillar):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decides whether SCM/CX Analytics activation enters scope; this design covers ERP + HCM activation and is additive for further pillars.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EPM reporting requirement: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confirm with the EPM (Partner-B) team whether planning results are needed beside actuals (flow FD-F2) — not assumed.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312D2A"/>
          <w:sz w:val="21"/>
          <w:szCs w:val="21"/>
        </w:rPr>
        <w:t xml:space="preserve">Module scope note: </w:t>
      </w:r>
      <w:r>
        <w:rPr>
          <w:rFonts w:ascii="Calibri" w:cs="Calibri" w:eastAsia="Calibri" w:hAnsi="Calibri"/>
          <w:color w:val="312D2A"/>
          <w:sz w:val="21"/>
          <w:szCs w:val="21"/>
        </w:rPr>
        <w:t xml:space="preserve">framework v1.2 lists SCM where the program lists CX — the FDI activation list inherits whatever R-01 resolves; no rework either way.</w:t>
      </w:r>
    </w:p>
    <w:p>
      <w:pPr>
        <w:spacing w:after="60"/>
      </w:pPr>
      <w:r>
        <w:rPr>
          <w:rFonts w:ascii="Calibri" w:cs="Calibri" w:eastAsia="Calibri" w:hAnsi="Calibri"/>
          <w:color w:val="312D2A"/>
          <w:sz w:val="21"/>
          <w:szCs w:val="21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6B6560"/>
          <w:sz w:val="18"/>
          <w:szCs w:val="18"/>
        </w:rPr>
        <w:t xml:space="preserve">References: Governance Standard v1.1 · Vol. 3 (compartments) · Vol. 5 LLD (network/CIDR) · Vol. 7 (flow register) · Vol. 8 (DR register) · Vol. 9 (MC-03, §8 data rules) · Vol. 10 + CR-IDN-001 rev 2 (identity domains) · D19 (current compartment tree) · D20 (this volume).</w:t>
      </w:r>
    </w:p>
    <w:sectPr>
      <w:pgSz w:w="15840" w:h="12240" w:orient="landscape"/>
      <w:pgMar w:top="1000" w:right="1180" w:bottom="1000" w:left="11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12D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0fbada393a0fa0d2c252096addd17990173b15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2026-09-11T19:01:46.086Z</dcterms:created>
  <dcterms:modified xsi:type="dcterms:W3CDTF">2026-09-11T19:01:46.086Z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