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2F976" w14:textId="77777777" w:rsidR="006008C6" w:rsidRDefault="00171BF0">
      <w:pPr>
        <w:spacing w:before="1100" w:after="150"/>
      </w:pPr>
      <w:r>
        <w:rPr>
          <w:b/>
          <w:bCs/>
          <w:color w:val="6B6560"/>
          <w:sz w:val="20"/>
          <w:szCs w:val="20"/>
        </w:rPr>
        <w:t>OCI SECURITY ARCHITECTURE — IDENTITY</w:t>
      </w:r>
    </w:p>
    <w:p w14:paraId="54C8E85A" w14:textId="77777777" w:rsidR="006008C6" w:rsidRDefault="00171BF0">
      <w:pPr>
        <w:spacing w:after="130"/>
      </w:pPr>
      <w:r>
        <w:rPr>
          <w:b/>
          <w:bCs/>
          <w:color w:val="C74634"/>
          <w:sz w:val="36"/>
          <w:szCs w:val="36"/>
        </w:rPr>
        <w:t>Bridging Microsoft Entra ID with OCI Identity Domains, Oracle Fusion, OIC and ATP</w:t>
      </w:r>
    </w:p>
    <w:p w14:paraId="3A869F49" w14:textId="77777777" w:rsidR="006008C6" w:rsidRDefault="00171BF0">
      <w:pPr>
        <w:spacing w:after="120"/>
      </w:pPr>
      <w:r>
        <w:rPr>
          <w:sz w:val="24"/>
          <w:szCs w:val="24"/>
        </w:rPr>
        <w:t>Best-practice recommendations for a six-environment Fusion estate (Dev1–Dev4, Test, Prod), each with dedicated OIC + ATP.</w:t>
      </w:r>
    </w:p>
    <w:p w14:paraId="59997E26" w14:textId="77777777" w:rsidR="006008C6" w:rsidRDefault="00171BF0">
      <w:pPr>
        <w:spacing w:after="110"/>
      </w:pPr>
      <w:r>
        <w:rPr>
          <w:b/>
          <w:bCs/>
        </w:rPr>
        <w:t xml:space="preserve">Author's note on naming: </w:t>
      </w:r>
      <w:r>
        <w:t xml:space="preserve">“OCI IDCS” is the legacy name for what Oracle now calls </w:t>
      </w:r>
      <w:r>
        <w:rPr>
          <w:b/>
          <w:bCs/>
        </w:rPr>
        <w:t>OCI IAM Identity Domains</w:t>
      </w:r>
      <w:r>
        <w:t xml:space="preserve">. This document uses the current term; where you see “identity domain” read it as the successor to IDCS. Each Oracle Fusion pod ships with its own identity domain, and OIC/ATP live in OCI identity domains too — so “bridging Entra to Fusion IDCS and to OIC+ATP” is </w:t>
      </w:r>
      <w:proofErr w:type="gramStart"/>
      <w:r>
        <w:t>really about</w:t>
      </w:r>
      <w:proofErr w:type="gramEnd"/>
      <w:r>
        <w:t xml:space="preserve"> how one corporate IdP federates a set of identity domains.</w:t>
      </w:r>
    </w:p>
    <w:p w14:paraId="70894E58" w14:textId="77777777" w:rsidR="006008C6" w:rsidRDefault="00171BF0">
      <w:pPr>
        <w:spacing w:after="300"/>
      </w:pPr>
      <w:r>
        <w:rPr>
          <w:i/>
          <w:iCs/>
          <w:color w:val="6B6560"/>
          <w:sz w:val="20"/>
          <w:szCs w:val="20"/>
        </w:rPr>
        <w:t xml:space="preserve">Prepared by: OCI Enterprise / Security </w:t>
      </w:r>
      <w:proofErr w:type="gramStart"/>
      <w:r>
        <w:rPr>
          <w:i/>
          <w:iCs/>
          <w:color w:val="6B6560"/>
          <w:sz w:val="20"/>
          <w:szCs w:val="20"/>
        </w:rPr>
        <w:t>Architect  |</w:t>
      </w:r>
      <w:proofErr w:type="gramEnd"/>
      <w:r>
        <w:rPr>
          <w:i/>
          <w:iCs/>
          <w:color w:val="6B6560"/>
          <w:sz w:val="20"/>
          <w:szCs w:val="20"/>
        </w:rPr>
        <w:t xml:space="preserve">  v1.0 </w:t>
      </w:r>
      <w:proofErr w:type="gramStart"/>
      <w:r>
        <w:rPr>
          <w:i/>
          <w:iCs/>
          <w:color w:val="6B6560"/>
          <w:sz w:val="20"/>
          <w:szCs w:val="20"/>
        </w:rPr>
        <w:t>Draft  |</w:t>
      </w:r>
      <w:proofErr w:type="gramEnd"/>
      <w:r>
        <w:rPr>
          <w:i/>
          <w:iCs/>
          <w:color w:val="6B6560"/>
          <w:sz w:val="20"/>
          <w:szCs w:val="20"/>
        </w:rPr>
        <w:t xml:space="preserve">  Classification: Internal</w:t>
      </w:r>
    </w:p>
    <w:p w14:paraId="5E8F7E4D" w14:textId="77777777" w:rsidR="006008C6" w:rsidRDefault="00171BF0">
      <w:r>
        <w:br w:type="page"/>
      </w:r>
    </w:p>
    <w:p w14:paraId="41ED4563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Contents</w:t>
      </w:r>
    </w:p>
    <w:p w14:paraId="468BB2A4" w14:textId="77777777" w:rsidR="006008C6" w:rsidRDefault="00171BF0">
      <w:pPr>
        <w:spacing w:after="44"/>
      </w:pPr>
      <w:r>
        <w:t>1. Executive advice (read this first)</w:t>
      </w:r>
    </w:p>
    <w:p w14:paraId="785128F2" w14:textId="77777777" w:rsidR="006008C6" w:rsidRDefault="00171BF0">
      <w:pPr>
        <w:spacing w:after="44"/>
      </w:pPr>
      <w:r>
        <w:t>2. The two identity planes — the core model</w:t>
      </w:r>
    </w:p>
    <w:p w14:paraId="5C9CD747" w14:textId="77777777" w:rsidR="006008C6" w:rsidRDefault="00171BF0">
      <w:pPr>
        <w:spacing w:after="44"/>
      </w:pPr>
      <w:r>
        <w:t>3. Target federation topology (6 environments)</w:t>
      </w:r>
    </w:p>
    <w:p w14:paraId="07FBB94E" w14:textId="77777777" w:rsidR="006008C6" w:rsidRDefault="00171BF0">
      <w:pPr>
        <w:spacing w:after="44"/>
      </w:pPr>
      <w:r>
        <w:t>4. Bridge 1 — Entra ID to the OCI Identity Domain (human SSO)</w:t>
      </w:r>
    </w:p>
    <w:p w14:paraId="5F009823" w14:textId="77777777" w:rsidR="006008C6" w:rsidRDefault="00171BF0">
      <w:pPr>
        <w:spacing w:after="44"/>
      </w:pPr>
      <w:r>
        <w:t>5. Bridge 2 — Identity Domain to Oracle Fusion</w:t>
      </w:r>
    </w:p>
    <w:p w14:paraId="34D95666" w14:textId="77777777" w:rsidR="006008C6" w:rsidRDefault="00171BF0">
      <w:pPr>
        <w:spacing w:after="44"/>
      </w:pPr>
      <w:r>
        <w:t>6. Bridge 3 — OIC (console SSO + OAuth2 to Fusion)</w:t>
      </w:r>
    </w:p>
    <w:p w14:paraId="10D45F2C" w14:textId="77777777" w:rsidR="006008C6" w:rsidRDefault="00171BF0">
      <w:pPr>
        <w:spacing w:after="44"/>
      </w:pPr>
      <w:r>
        <w:t>7. Bridge 4 — ATP (human DB auth + service credentials)</w:t>
      </w:r>
    </w:p>
    <w:p w14:paraId="3E53E5D7" w14:textId="77777777" w:rsidR="006008C6" w:rsidRDefault="00171BF0">
      <w:pPr>
        <w:spacing w:after="44"/>
      </w:pPr>
      <w:r>
        <w:t>8. Environment isolation and blast-radius model</w:t>
      </w:r>
    </w:p>
    <w:p w14:paraId="33A52E31" w14:textId="77777777" w:rsidR="006008C6" w:rsidRDefault="00171BF0">
      <w:pPr>
        <w:spacing w:after="44"/>
      </w:pPr>
      <w:r>
        <w:t>9. Security controls and guardrails</w:t>
      </w:r>
    </w:p>
    <w:p w14:paraId="62E9D368" w14:textId="77777777" w:rsidR="006008C6" w:rsidRDefault="00171BF0">
      <w:pPr>
        <w:spacing w:after="44"/>
      </w:pPr>
      <w:r>
        <w:t>10. Recommendations summary (do / avoid)</w:t>
      </w:r>
    </w:p>
    <w:p w14:paraId="3F60332B" w14:textId="77777777" w:rsidR="006008C6" w:rsidRDefault="00171BF0">
      <w:pPr>
        <w:spacing w:after="44"/>
      </w:pPr>
      <w:r>
        <w:t>11. Build sequence (high level)</w:t>
      </w:r>
    </w:p>
    <w:p w14:paraId="6897D229" w14:textId="77777777" w:rsidR="006008C6" w:rsidRDefault="00171BF0">
      <w:pPr>
        <w:spacing w:after="44"/>
      </w:pPr>
      <w:r>
        <w:t>Appendix A — Naming conventions</w:t>
      </w:r>
    </w:p>
    <w:p w14:paraId="23664B0F" w14:textId="77777777" w:rsidR="006008C6" w:rsidRDefault="00171BF0">
      <w:pPr>
        <w:spacing w:after="44"/>
      </w:pPr>
      <w:r>
        <w:t>Appendix B — OAuth scopes and group model</w:t>
      </w:r>
    </w:p>
    <w:p w14:paraId="265A41F6" w14:textId="77777777" w:rsidR="006008C6" w:rsidRDefault="00171BF0">
      <w:r>
        <w:br w:type="page"/>
      </w:r>
    </w:p>
    <w:p w14:paraId="6FA14717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1. Executive Advice (Read This First)</w:t>
      </w:r>
    </w:p>
    <w:p w14:paraId="19313D8F" w14:textId="77777777" w:rsidR="006008C6" w:rsidRDefault="00171BF0">
      <w:pPr>
        <w:spacing w:after="130"/>
      </w:pPr>
      <w:r>
        <w:t>Ten recommendations, in priority order, for federating Microsoft Entra ID across your six Fusion environments and their dedicated OIC + ATP:</w:t>
      </w:r>
    </w:p>
    <w:p w14:paraId="111368B3" w14:textId="77777777" w:rsidR="006008C6" w:rsidRDefault="00171BF0">
      <w:pPr>
        <w:pStyle w:val="ListParagraph"/>
        <w:numPr>
          <w:ilvl w:val="0"/>
          <w:numId w:val="2"/>
        </w:numPr>
        <w:spacing w:after="65"/>
      </w:pPr>
      <w:r>
        <w:rPr>
          <w:b/>
          <w:bCs/>
        </w:rPr>
        <w:t xml:space="preserve">Separate the two planes. </w:t>
      </w:r>
      <w:r>
        <w:t>Human sign-in (SAML/OIDC, Entra in the path) and machine-to-machine (OAuth2/</w:t>
      </w:r>
      <w:proofErr w:type="spellStart"/>
      <w:r>
        <w:t>mTLS</w:t>
      </w:r>
      <w:proofErr w:type="spellEnd"/>
      <w:r>
        <w:t>, Entra NOT in the path) are different problems. Design and operate them independently. This is the single most important decision — see §2.</w:t>
      </w:r>
    </w:p>
    <w:p w14:paraId="30A45506" w14:textId="77777777" w:rsidR="006008C6" w:rsidRDefault="00171BF0">
      <w:pPr>
        <w:pStyle w:val="ListParagraph"/>
        <w:numPr>
          <w:ilvl w:val="0"/>
          <w:numId w:val="2"/>
        </w:numPr>
        <w:spacing w:after="65"/>
      </w:pPr>
      <w:r>
        <w:rPr>
          <w:b/>
          <w:bCs/>
        </w:rPr>
        <w:t xml:space="preserve">One identity domain per environment. </w:t>
      </w:r>
      <w:r>
        <w:t>Federate Dev1, Dev2, Dev3, Dev4, Test and Prod as six separate identity domains. Separate blast radius, separate Conditional Access, separate certificate rotation, per-environment audit.</w:t>
      </w:r>
    </w:p>
    <w:p w14:paraId="2B5E9149" w14:textId="77777777" w:rsidR="006008C6" w:rsidRDefault="00171BF0">
      <w:pPr>
        <w:pStyle w:val="ListParagraph"/>
        <w:numPr>
          <w:ilvl w:val="0"/>
          <w:numId w:val="2"/>
        </w:numPr>
        <w:spacing w:after="65"/>
      </w:pPr>
      <w:r>
        <w:rPr>
          <w:b/>
          <w:bCs/>
        </w:rPr>
        <w:t xml:space="preserve">One Entra enterprise app per domain. </w:t>
      </w:r>
      <w:r>
        <w:t xml:space="preserve">The Entra SAML issuer (https://sts.windows.net/&lt;tenant&gt;/) is the same for every app in your tenant, and OCI requires that issuer to be unique within a domain. </w:t>
      </w:r>
      <w:proofErr w:type="gramStart"/>
      <w:r>
        <w:t>So</w:t>
      </w:r>
      <w:proofErr w:type="gramEnd"/>
      <w:r>
        <w:t xml:space="preserve"> a domain holds exactly ONE Entra IdP; give each domain its own enterprise app. Never add a second Entra IdP to one domain.</w:t>
      </w:r>
    </w:p>
    <w:p w14:paraId="65F869A5" w14:textId="77777777" w:rsidR="006008C6" w:rsidRDefault="00171BF0">
      <w:pPr>
        <w:pStyle w:val="ListParagraph"/>
        <w:numPr>
          <w:ilvl w:val="0"/>
          <w:numId w:val="2"/>
        </w:numPr>
        <w:spacing w:after="65"/>
      </w:pPr>
      <w:r>
        <w:rPr>
          <w:b/>
          <w:bCs/>
        </w:rPr>
        <w:t xml:space="preserve">Keep the Default domain out of federation. </w:t>
      </w:r>
      <w:r>
        <w:t>Use it only for two vaulted, MFA-enrolled, alarmed break-glass admins. Every federated login goes to the workforce/per-environment domains.</w:t>
      </w:r>
    </w:p>
    <w:p w14:paraId="05F9CDC4" w14:textId="77777777" w:rsidR="006008C6" w:rsidRDefault="00171BF0">
      <w:pPr>
        <w:pStyle w:val="ListParagraph"/>
        <w:numPr>
          <w:ilvl w:val="0"/>
          <w:numId w:val="2"/>
        </w:numPr>
        <w:spacing w:after="65"/>
      </w:pPr>
      <w:r>
        <w:rPr>
          <w:b/>
          <w:bCs/>
        </w:rPr>
        <w:t xml:space="preserve">Provision with SCIM; source workers from HCM. </w:t>
      </w:r>
      <w:r>
        <w:t>Turn JIT off; let SCIM push only assigned users/groups. For workers, HCM is the source of record → Entra → SCIM → domain. Machine identities are provisioned directly as confidential apps, not from HCM.</w:t>
      </w:r>
    </w:p>
    <w:p w14:paraId="5B577E1E" w14:textId="77777777" w:rsidR="006008C6" w:rsidRDefault="00171BF0">
      <w:pPr>
        <w:pStyle w:val="ListParagraph"/>
        <w:numPr>
          <w:ilvl w:val="0"/>
          <w:numId w:val="2"/>
        </w:numPr>
        <w:spacing w:after="65"/>
      </w:pPr>
      <w:proofErr w:type="spellStart"/>
      <w:r>
        <w:rPr>
          <w:b/>
          <w:bCs/>
        </w:rPr>
        <w:t>OIC→Fusion</w:t>
      </w:r>
      <w:proofErr w:type="spellEnd"/>
      <w:r>
        <w:rPr>
          <w:b/>
          <w:bCs/>
        </w:rPr>
        <w:t xml:space="preserve"> is OAuth2, not a password. </w:t>
      </w:r>
      <w:r>
        <w:t>Register a confidential OAuth2 application in the same domain and call Fusion REST/SOAP with client-credentials (or JWT for user context). No basic-auth service users where OAuth is available.</w:t>
      </w:r>
    </w:p>
    <w:p w14:paraId="468E1B4A" w14:textId="77777777" w:rsidR="006008C6" w:rsidRDefault="00171BF0">
      <w:pPr>
        <w:pStyle w:val="ListParagraph"/>
        <w:numPr>
          <w:ilvl w:val="0"/>
          <w:numId w:val="2"/>
        </w:numPr>
        <w:spacing w:after="65"/>
      </w:pPr>
      <w:r>
        <w:rPr>
          <w:b/>
          <w:bCs/>
        </w:rPr>
        <w:t xml:space="preserve">ATP: IAM database authentication for humans, Vault for services. </w:t>
      </w:r>
      <w:r>
        <w:t xml:space="preserve">Human DBAs authenticate to ATP through the federated identity domain (IAM DB auth); application/OIC access uses an </w:t>
      </w:r>
      <w:proofErr w:type="spellStart"/>
      <w:r>
        <w:t>mTLS</w:t>
      </w:r>
      <w:proofErr w:type="spellEnd"/>
      <w:r>
        <w:t xml:space="preserve"> wallet + least-privileged DB account with the wallet and credential in OCI Vault.</w:t>
      </w:r>
    </w:p>
    <w:p w14:paraId="54B9D048" w14:textId="77777777" w:rsidR="006008C6" w:rsidRDefault="00171BF0">
      <w:pPr>
        <w:pStyle w:val="ListParagraph"/>
        <w:numPr>
          <w:ilvl w:val="0"/>
          <w:numId w:val="2"/>
        </w:numPr>
        <w:spacing w:after="65"/>
      </w:pPr>
      <w:r>
        <w:rPr>
          <w:b/>
          <w:bCs/>
        </w:rPr>
        <w:t xml:space="preserve">Secrets live in OCI Vault with customer-managed keys. </w:t>
      </w:r>
      <w:r>
        <w:t xml:space="preserve">OAuth client secrets, signing keys, ATP wallets and TLS certs — all in Vault, 90-day rotation, read at runtime via resource principal / dynamic group. Nothing in </w:t>
      </w:r>
      <w:proofErr w:type="gramStart"/>
      <w:r>
        <w:t>cleartext</w:t>
      </w:r>
      <w:proofErr w:type="gramEnd"/>
      <w:r>
        <w:t xml:space="preserve"> in OIC connections.</w:t>
      </w:r>
    </w:p>
    <w:p w14:paraId="7778314B" w14:textId="77777777" w:rsidR="006008C6" w:rsidRDefault="00171BF0">
      <w:pPr>
        <w:pStyle w:val="ListParagraph"/>
        <w:numPr>
          <w:ilvl w:val="0"/>
          <w:numId w:val="2"/>
        </w:numPr>
        <w:spacing w:after="65"/>
      </w:pPr>
      <w:r>
        <w:rPr>
          <w:b/>
          <w:bCs/>
        </w:rPr>
        <w:t xml:space="preserve">Harden Prod differently from Dev. </w:t>
      </w:r>
      <w:r>
        <w:t>Strict Conditional Access (compliant device + MFA, block legacy auth) and PIM-eligible admin roles on Prod and any platform domain; baseline MFA on non-prod.</w:t>
      </w:r>
    </w:p>
    <w:p w14:paraId="590813F7" w14:textId="77777777" w:rsidR="006008C6" w:rsidRDefault="00171BF0">
      <w:pPr>
        <w:pStyle w:val="ListParagraph"/>
        <w:numPr>
          <w:ilvl w:val="0"/>
          <w:numId w:val="2"/>
        </w:numPr>
        <w:spacing w:after="65"/>
      </w:pPr>
      <w:r>
        <w:rPr>
          <w:b/>
          <w:bCs/>
        </w:rPr>
        <w:t xml:space="preserve">Remember what federation </w:t>
      </w:r>
      <w:proofErr w:type="gramStart"/>
      <w:r>
        <w:rPr>
          <w:b/>
          <w:bCs/>
        </w:rPr>
        <w:t>does NOT do</w:t>
      </w:r>
      <w:proofErr w:type="gramEnd"/>
      <w:r>
        <w:rPr>
          <w:b/>
          <w:bCs/>
        </w:rPr>
        <w:t xml:space="preserve">. </w:t>
      </w:r>
      <w:r>
        <w:t xml:space="preserve">Entra/OCI federation governs who can SIGN IN. It never controls who can see a Fusion invoice, worker record or ledger — that is Fusion application security (job/duty/data roles, </w:t>
      </w:r>
      <w:proofErr w:type="spellStart"/>
      <w:r>
        <w:t>SoD</w:t>
      </w:r>
      <w:proofErr w:type="spellEnd"/>
      <w:r>
        <w:t>), a separate plane with a separate owner.</w:t>
      </w:r>
    </w:p>
    <w:p w14:paraId="25F2BF2D" w14:textId="77777777" w:rsidR="006008C6" w:rsidRDefault="00171BF0">
      <w:r>
        <w:br w:type="page"/>
      </w:r>
    </w:p>
    <w:p w14:paraId="6C9CF005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2. The Two Identity Planes — The Core Model</w:t>
      </w:r>
    </w:p>
    <w:p w14:paraId="5BB0E561" w14:textId="77777777" w:rsidR="006008C6" w:rsidRDefault="00171BF0">
      <w:pPr>
        <w:spacing w:after="130"/>
      </w:pPr>
      <w:r>
        <w:t>Everything in this design follows from one distinction. When you “bridge Entra to Fusion, OIC and ATP” you are really building two separate bridges that happen to share an environment.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900"/>
        <w:gridCol w:w="3900"/>
      </w:tblGrid>
      <w:tr w:rsidR="006008C6" w14:paraId="7D8F1FA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C5C93EE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Aspect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6A3D531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Human plane (SAML / OIDC)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636C0CD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Machine plane (OAuth2 /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mTLS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)</w:t>
            </w:r>
          </w:p>
        </w:tc>
      </w:tr>
      <w:tr w:rsidR="006008C6" w14:paraId="1A4BB03A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6BE7028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Who / what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2E19FC1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Employees, partners, admins signing in interactively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4BA4DE9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OIC integrations, batch jobs, service accounts</w:t>
            </w:r>
          </w:p>
        </w:tc>
      </w:tr>
      <w:tr w:rsidR="006008C6" w14:paraId="7E362B04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64B45D9C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Protocol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67820E1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SAML 2.0 (or OIDC) via the identity domain's IdP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9925790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 xml:space="preserve">OAuth2 client-credentials / JWT; </w:t>
            </w:r>
            <w:proofErr w:type="spellStart"/>
            <w:r>
              <w:rPr>
                <w:sz w:val="15"/>
                <w:szCs w:val="15"/>
              </w:rPr>
              <w:t>mTLS</w:t>
            </w:r>
            <w:proofErr w:type="spellEnd"/>
            <w:r>
              <w:rPr>
                <w:sz w:val="15"/>
                <w:szCs w:val="15"/>
              </w:rPr>
              <w:t xml:space="preserve"> for DB</w:t>
            </w:r>
          </w:p>
        </w:tc>
      </w:tr>
      <w:tr w:rsidR="006008C6" w14:paraId="6E12554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F1D3475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Is Entra in the path?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E725E06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Yes — Entra is the IdP; MFA/CA/PIM apply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48DC6DA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No — tokens are issued by the domain / DB; Entra is not called at runtime</w:t>
            </w:r>
          </w:p>
        </w:tc>
      </w:tr>
      <w:tr w:rsidR="006008C6" w14:paraId="4E25447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505EC548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Reaches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5EC34D6C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Fusion UI, OIC console, OAC, OCI Console, ATP admin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57E0227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Fusion REST/SOAP APIs, ATP data (1522)</w:t>
            </w:r>
          </w:p>
        </w:tc>
      </w:tr>
      <w:tr w:rsidR="006008C6" w14:paraId="00DA178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6BF9EB0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Credential store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0376E2E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Entra (federated); domain groups → roles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698A7C94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OCI Vault (client secret, wallet, keys)</w:t>
            </w:r>
          </w:p>
        </w:tc>
      </w:tr>
      <w:tr w:rsidR="006008C6" w14:paraId="2CC15F9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9C47AA4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 xml:space="preserve">Failure </w:t>
            </w:r>
            <w:proofErr w:type="spellStart"/>
            <w:r>
              <w:rPr>
                <w:sz w:val="15"/>
                <w:szCs w:val="15"/>
              </w:rPr>
              <w:t>behaviour</w:t>
            </w:r>
            <w:proofErr w:type="spellEnd"/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1A1CA10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If Entra/federation down, SSO pauses (break-glass still works)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6D176A6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Keeps running — does not depend on Entra</w:t>
            </w:r>
          </w:p>
        </w:tc>
      </w:tr>
      <w:tr w:rsidR="006008C6" w14:paraId="115D3C5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17C56C2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Owner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6A190779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Identity / platform team</w:t>
            </w:r>
          </w:p>
        </w:tc>
        <w:tc>
          <w:tcPr>
            <w:tcW w:w="39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5D40933C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Integration + platform team</w:t>
            </w:r>
          </w:p>
        </w:tc>
      </w:tr>
    </w:tbl>
    <w:p w14:paraId="40DFA8E5" w14:textId="77777777" w:rsidR="006008C6" w:rsidRDefault="00171BF0">
      <w:pPr>
        <w:pBdr>
          <w:top w:val="single" w:sz="6" w:space="0" w:color="3E7C7B"/>
          <w:left w:val="single" w:sz="6" w:space="0" w:color="3E7C7B"/>
          <w:bottom w:val="single" w:sz="6" w:space="0" w:color="3E7C7B"/>
          <w:right w:val="single" w:sz="6" w:space="0" w:color="3E7C7B"/>
        </w:pBdr>
        <w:shd w:val="clear" w:color="auto" w:fill="EAF1F0"/>
        <w:spacing w:before="80" w:after="120"/>
      </w:pPr>
      <w:r>
        <w:rPr>
          <w:b/>
          <w:bCs/>
          <w:color w:val="3E7C7B"/>
        </w:rPr>
        <w:t xml:space="preserve">Consequence. </w:t>
      </w:r>
      <w:r>
        <w:t xml:space="preserve">Because the machine plane does not depend on Entra, an Entra outage or a federation change never stops your integrations — provided you did not shortcut </w:t>
      </w:r>
      <w:proofErr w:type="spellStart"/>
      <w:r>
        <w:t>OIC→Fusion</w:t>
      </w:r>
      <w:proofErr w:type="spellEnd"/>
      <w:r>
        <w:t xml:space="preserve"> with a human federated account. That is why service-to-service must be OAuth2/</w:t>
      </w:r>
      <w:proofErr w:type="spellStart"/>
      <w:r>
        <w:t>mTLS</w:t>
      </w:r>
      <w:proofErr w:type="spellEnd"/>
      <w:r>
        <w:t>, never a person's SSO identity.</w:t>
      </w:r>
    </w:p>
    <w:p w14:paraId="5F5F3F3E" w14:textId="77777777" w:rsidR="006008C6" w:rsidRDefault="00171BF0">
      <w:r>
        <w:br w:type="page"/>
      </w:r>
    </w:p>
    <w:p w14:paraId="640A167F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3. Target Federation Topology (6 Environments)</w:t>
      </w:r>
    </w:p>
    <w:p w14:paraId="720DF255" w14:textId="77777777" w:rsidR="006008C6" w:rsidRDefault="00171BF0">
      <w:pPr>
        <w:spacing w:after="130"/>
      </w:pPr>
      <w:r>
        <w:rPr>
          <w:sz w:val="20"/>
          <w:szCs w:val="20"/>
        </w:rPr>
        <w:t>One Entra enterprise app per OCI identity domain; one identity domain per Fusion environment. Human SSO flows over SAML; users/groups arrive by SCIM. The machine plane (OAuth2/</w:t>
      </w:r>
      <w:proofErr w:type="spellStart"/>
      <w:r>
        <w:rPr>
          <w:sz w:val="20"/>
          <w:szCs w:val="20"/>
        </w:rPr>
        <w:t>mTLS</w:t>
      </w:r>
      <w:proofErr w:type="spellEnd"/>
      <w:r>
        <w:rPr>
          <w:sz w:val="20"/>
          <w:szCs w:val="20"/>
        </w:rPr>
        <w:t>) sits underneath, per environment, with secrets in Vault.</w:t>
      </w:r>
    </w:p>
    <w:p w14:paraId="1C168BCF" w14:textId="77777777" w:rsidR="006008C6" w:rsidRDefault="00171BF0">
      <w:pPr>
        <w:spacing w:before="40" w:after="120"/>
        <w:jc w:val="center"/>
      </w:pPr>
      <w:r>
        <w:rPr>
          <w:noProof/>
        </w:rPr>
        <w:drawing>
          <wp:inline distT="0" distB="0" distL="0" distR="0" wp14:anchorId="4705035A" wp14:editId="265E6944">
            <wp:extent cx="6286500" cy="3638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E5174" w14:textId="77777777" w:rsidR="006008C6" w:rsidRDefault="00171BF0">
      <w:pPr>
        <w:spacing w:after="130"/>
      </w:pPr>
      <w:r>
        <w:rPr>
          <w:i/>
          <w:iCs/>
          <w:color w:val="6B6560"/>
          <w:sz w:val="19"/>
          <w:szCs w:val="19"/>
        </w:rPr>
        <w:t>Diagram D-IDB1 — macro topology. Each of the six subscriptions (Dev1–Dev4, Test, Prod) is federated in its own domain; Prod additionally carries strict Conditional Access and PIM. Break-glass is local and excluded from federation.</w:t>
      </w:r>
    </w:p>
    <w:p w14:paraId="62878D08" w14:textId="77777777" w:rsidR="006008C6" w:rsidRDefault="00171BF0">
      <w:r>
        <w:br w:type="page"/>
      </w:r>
    </w:p>
    <w:p w14:paraId="053A4719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4. Bridge 1 — Entra ID to the OCI Identity Domain (Human SSO)</w:t>
      </w:r>
    </w:p>
    <w:p w14:paraId="27C63FBC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>4.1 SAML federation, per domain</w:t>
      </w:r>
    </w:p>
    <w:p w14:paraId="7B87C4DE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In each domain (DOM-DEV1 … DOM-PROD): Security ▸ Identity providers ▸ Add SAML IdP; import the metadata of that domain's own Entra enterprise app (</w:t>
      </w:r>
      <w:r>
        <w:rPr>
          <w:rFonts w:ascii="Consolas" w:eastAsia="Consolas" w:hAnsi="Consolas" w:cs="Consolas"/>
          <w:color w:val="5A4634"/>
          <w:sz w:val="18"/>
          <w:szCs w:val="18"/>
        </w:rPr>
        <w:t>CB-OCI-&lt;ENV&gt;</w:t>
      </w:r>
      <w:r>
        <w:t xml:space="preserve">). Enable signed requests + assertions (SHA-256); </w:t>
      </w:r>
      <w:proofErr w:type="spellStart"/>
      <w:r>
        <w:t>NameID</w:t>
      </w:r>
      <w:proofErr w:type="spellEnd"/>
      <w:r>
        <w:t xml:space="preserve"> = </w:t>
      </w:r>
      <w:proofErr w:type="spellStart"/>
      <w:r>
        <w:rPr>
          <w:rFonts w:ascii="Consolas" w:eastAsia="Consolas" w:hAnsi="Consolas" w:cs="Consolas"/>
          <w:color w:val="5A4634"/>
          <w:sz w:val="18"/>
          <w:szCs w:val="18"/>
        </w:rPr>
        <w:t>userPrincipalName</w:t>
      </w:r>
      <w:proofErr w:type="spellEnd"/>
      <w:r>
        <w:t xml:space="preserve"> (email format).</w:t>
      </w:r>
    </w:p>
    <w:p w14:paraId="229873FC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Set the domain sign-on policy default rule to delegate to the Entra IdP and require MFA.</w:t>
      </w:r>
    </w:p>
    <w:p w14:paraId="4DA63D6C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 xml:space="preserve">Confirm the issuer registers cleanly. If OCI reports </w:t>
      </w:r>
      <w:r>
        <w:rPr>
          <w:i/>
          <w:iCs/>
        </w:rPr>
        <w:t>“Provider ID already exists”</w:t>
      </w:r>
      <w:r>
        <w:t>, a domain already has an Entra IdP with that issuer — UPDATE it, do not add a second (the issuer is per-tenant, identical across apps).</w:t>
      </w:r>
    </w:p>
    <w:p w14:paraId="7D8F3EE2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>4.2 SCIM provisioning and source of record</w:t>
      </w:r>
    </w:p>
    <w:p w14:paraId="7B6C5E75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Enable automatic provisioning on the same Entra enterprise app; tenant URL = the domain SCIM endpoint; secret token stored in Vault. Scope = sync only assigned users and groups; JIT off.</w:t>
      </w:r>
    </w:p>
    <w:p w14:paraId="0770A02D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Source of record: HCM (workers) → Entra → SCIM → domain. Joiner/mover/leaver is driven from HCM/Entra; a test de-provision must deactivate in the domain within one cycle.</w:t>
      </w:r>
    </w:p>
    <w:p w14:paraId="06BD8098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 xml:space="preserve">Map Entra security groups to domain groups (arrive as OCI-*), then to application roles (OIC </w:t>
      </w:r>
      <w:proofErr w:type="spellStart"/>
      <w:r>
        <w:t>ServiceInvoker</w:t>
      </w:r>
      <w:proofErr w:type="spellEnd"/>
      <w:r>
        <w:t>/</w:t>
      </w:r>
      <w:proofErr w:type="spellStart"/>
      <w:r>
        <w:t>ServiceAdministrator</w:t>
      </w:r>
      <w:proofErr w:type="spellEnd"/>
      <w:r>
        <w:t>, OAC, Console).</w:t>
      </w:r>
    </w:p>
    <w:p w14:paraId="2EFAFB12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>4.3 Conditional Access, MFA, PIM</w:t>
      </w:r>
    </w:p>
    <w:p w14:paraId="6D7EAFB0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MFA everywhere. Non-prod = baseline CA (MFA). Prod + any platform domain = strict CA (MFA + compliant/hybrid-joined device, block legacy auth) and PIM-eligible admin groups (activation with approval + justification).</w:t>
      </w:r>
    </w:p>
    <w:p w14:paraId="3026DE16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Assignment required = Yes on every enterprise app; only that environment's groups are assigned — an unassigned user is refused at Entra before reaching OCI.</w:t>
      </w:r>
    </w:p>
    <w:p w14:paraId="5E22C23D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>4.4 Break-glass</w:t>
      </w:r>
    </w:p>
    <w:p w14:paraId="76828C9A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Two local admins in the Default domain (or a dedicated break-glass domain), excluded from federation, ≥24-char vaulted passwords, MFA, and an alarm on every successful login (see §9). Proven working before and after any federation change.</w:t>
      </w:r>
    </w:p>
    <w:p w14:paraId="0958E61C" w14:textId="77777777" w:rsidR="006008C6" w:rsidRDefault="00171BF0">
      <w:r>
        <w:br w:type="page"/>
      </w:r>
    </w:p>
    <w:p w14:paraId="328084E2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5. Bridge 2 — Identity Domain to Oracle Fusion</w:t>
      </w:r>
    </w:p>
    <w:p w14:paraId="07769B3C" w14:textId="77777777" w:rsidR="006008C6" w:rsidRDefault="00171BF0">
      <w:pPr>
        <w:spacing w:after="130"/>
      </w:pPr>
      <w:r>
        <w:rPr>
          <w:sz w:val="20"/>
          <w:szCs w:val="20"/>
        </w:rPr>
        <w:t>Each Fusion pod is associated with an identity domain. Once that domain is federated to Entra (Bridge 1), Fusion SSO for humans follows automatically: a user hits the Fusion URL, is redirected to the domain, which delegates to Entra, MFA is enforced, and the user lands in Fusion with the roles their groups grant.</w:t>
      </w:r>
    </w:p>
    <w:p w14:paraId="6C2E0B0F" w14:textId="77777777" w:rsidR="006008C6" w:rsidRDefault="00171BF0"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Human SSO. </w:t>
      </w:r>
      <w:r>
        <w:t xml:space="preserve">Fusion UI sign-in uses the domain's SAML IdP (Entra). No separate Fusion-side IdP configuration beyond associating the pod with the federated domain and confirming </w:t>
      </w:r>
      <w:proofErr w:type="spellStart"/>
      <w:r>
        <w:t>NameID</w:t>
      </w:r>
      <w:proofErr w:type="spellEnd"/>
      <w:r>
        <w:t xml:space="preserve"> = </w:t>
      </w:r>
      <w:proofErr w:type="spellStart"/>
      <w:r>
        <w:t>userPrincipalName</w:t>
      </w:r>
      <w:proofErr w:type="spellEnd"/>
      <w:r>
        <w:t>.</w:t>
      </w:r>
    </w:p>
    <w:p w14:paraId="3D6B3C7B" w14:textId="77777777" w:rsidR="006008C6" w:rsidRDefault="00171BF0"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Fusion application security stays separate. </w:t>
      </w:r>
      <w:r>
        <w:t xml:space="preserve">OCI/Entra decide IF a person can sign in; Fusion job/duty/data roles, security profiles, data access sets and </w:t>
      </w:r>
      <w:proofErr w:type="spellStart"/>
      <w:r>
        <w:t>SoD</w:t>
      </w:r>
      <w:proofErr w:type="spellEnd"/>
      <w:r>
        <w:t xml:space="preserve"> decide WHAT they can do. Keep this workstream and its owner distinct from the platform identity work.</w:t>
      </w:r>
    </w:p>
    <w:p w14:paraId="55FC023D" w14:textId="77777777" w:rsidR="006008C6" w:rsidRDefault="00171BF0"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Provisioning to Fusion. </w:t>
      </w:r>
      <w:r>
        <w:t xml:space="preserve">Worker accounts originate in HCM; do not double-provision the same humans into Fusion by a second path. For non-worker/partner access, provision through the same </w:t>
      </w:r>
      <w:proofErr w:type="spellStart"/>
      <w:r>
        <w:t>Entra→SCIM</w:t>
      </w:r>
      <w:proofErr w:type="spellEnd"/>
      <w:r>
        <w:t xml:space="preserve"> chain into the environment's groups.</w:t>
      </w:r>
    </w:p>
    <w:p w14:paraId="3FEEC9E8" w14:textId="77777777" w:rsidR="006008C6" w:rsidRDefault="00171BF0">
      <w:pPr>
        <w:pBdr>
          <w:top w:val="single" w:sz="6" w:space="0" w:color="8A6D1D"/>
          <w:left w:val="single" w:sz="6" w:space="0" w:color="8A6D1D"/>
          <w:bottom w:val="single" w:sz="6" w:space="0" w:color="8A6D1D"/>
          <w:right w:val="single" w:sz="6" w:space="0" w:color="8A6D1D"/>
        </w:pBdr>
        <w:shd w:val="clear" w:color="auto" w:fill="FBF3E3"/>
        <w:spacing w:before="80" w:after="120"/>
      </w:pPr>
      <w:r>
        <w:rPr>
          <w:b/>
          <w:bCs/>
          <w:color w:val="8A6D1D"/>
        </w:rPr>
        <w:t xml:space="preserve">Pod ↔ domain binding. </w:t>
      </w:r>
      <w:r>
        <w:t xml:space="preserve">The exact mechanism to associate a Fusion pod with a specific (federated) identity domain varies by pod generation. Confirm with Oracle Support for your pods before </w:t>
      </w:r>
      <w:proofErr w:type="gramStart"/>
      <w:r>
        <w:t>cutover, and</w:t>
      </w:r>
      <w:proofErr w:type="gramEnd"/>
      <w:r>
        <w:t xml:space="preserve"> treat re-pointing a pod's SSO as a change with a </w:t>
      </w:r>
      <w:proofErr w:type="spellStart"/>
      <w:r>
        <w:t>fall-back</w:t>
      </w:r>
      <w:proofErr w:type="spellEnd"/>
      <w:r>
        <w:t xml:space="preserve"> to the previously working IdP metadata.</w:t>
      </w:r>
    </w:p>
    <w:p w14:paraId="46C4AAC3" w14:textId="77777777" w:rsidR="006008C6" w:rsidRDefault="00171BF0">
      <w:r>
        <w:br w:type="page"/>
      </w:r>
    </w:p>
    <w:p w14:paraId="01D7E0BF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6. Bridge 3 — OIC (Console SSO + OAuth2 to Fusion)</w:t>
      </w:r>
    </w:p>
    <w:p w14:paraId="51D5B410" w14:textId="77777777" w:rsidR="006008C6" w:rsidRDefault="00171BF0">
      <w:pPr>
        <w:spacing w:before="40" w:after="120"/>
        <w:jc w:val="center"/>
      </w:pPr>
      <w:r>
        <w:rPr>
          <w:noProof/>
        </w:rPr>
        <w:drawing>
          <wp:inline distT="0" distB="0" distL="0" distR="0" wp14:anchorId="0EF919D1" wp14:editId="05601EAD">
            <wp:extent cx="6286500" cy="3581400"/>
            <wp:effectExtent l="0" t="0" r="0" b="0"/>
            <wp:docPr id="1315429521" name="Picture 1315429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997E5" w14:textId="77777777" w:rsidR="006008C6" w:rsidRDefault="00171BF0">
      <w:pPr>
        <w:spacing w:after="130"/>
      </w:pPr>
      <w:r>
        <w:rPr>
          <w:i/>
          <w:iCs/>
          <w:color w:val="6B6560"/>
          <w:sz w:val="19"/>
          <w:szCs w:val="19"/>
        </w:rPr>
        <w:t>Diagram D-IDB2 — the two planes for one subscription. Repeat per environment.</w:t>
      </w:r>
    </w:p>
    <w:p w14:paraId="03F4DAA7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>6.1 OIC console (human plane)</w:t>
      </w:r>
    </w:p>
    <w:p w14:paraId="6374DD75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 xml:space="preserve">OIC console sign-in uses the environment's identity domain (Entra-federated). Gate OIC roles by domain group: </w:t>
      </w:r>
      <w:proofErr w:type="spellStart"/>
      <w:r>
        <w:t>ServiceDeveloper</w:t>
      </w:r>
      <w:proofErr w:type="spellEnd"/>
      <w:r>
        <w:t xml:space="preserve"> in Dev, </w:t>
      </w:r>
      <w:proofErr w:type="spellStart"/>
      <w:r>
        <w:t>ServiceAdministrator</w:t>
      </w:r>
      <w:proofErr w:type="spellEnd"/>
      <w:r>
        <w:t>/Deployer promotion in Test/Prod.</w:t>
      </w:r>
    </w:p>
    <w:p w14:paraId="1560B277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 xml:space="preserve">6.2 OIC to Fusion (machine </w:t>
      </w:r>
      <w:proofErr w:type="gramStart"/>
      <w:r>
        <w:rPr>
          <w:b/>
          <w:bCs/>
          <w:color w:val="6B6560"/>
          <w:sz w:val="22"/>
          <w:szCs w:val="22"/>
        </w:rPr>
        <w:t>plane) —</w:t>
      </w:r>
      <w:proofErr w:type="gramEnd"/>
      <w:r>
        <w:rPr>
          <w:b/>
          <w:bCs/>
          <w:color w:val="6B6560"/>
          <w:sz w:val="22"/>
          <w:szCs w:val="22"/>
        </w:rPr>
        <w:t xml:space="preserve"> the important one</w:t>
      </w:r>
    </w:p>
    <w:p w14:paraId="39AB345B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 xml:space="preserve">Register a </w:t>
      </w:r>
      <w:r>
        <w:rPr>
          <w:b/>
          <w:bCs/>
        </w:rPr>
        <w:t>confidential OAuth2 application</w:t>
      </w:r>
      <w:r>
        <w:t xml:space="preserve"> in the same identity domain as the environment; create a service identity </w:t>
      </w:r>
      <w:r>
        <w:rPr>
          <w:rFonts w:ascii="Consolas" w:eastAsia="Consolas" w:hAnsi="Consolas" w:cs="Consolas"/>
          <w:color w:val="5A4634"/>
          <w:sz w:val="18"/>
          <w:szCs w:val="18"/>
        </w:rPr>
        <w:t>svc-</w:t>
      </w:r>
      <w:proofErr w:type="spellStart"/>
      <w:r>
        <w:rPr>
          <w:rFonts w:ascii="Consolas" w:eastAsia="Consolas" w:hAnsi="Consolas" w:cs="Consolas"/>
          <w:color w:val="5A4634"/>
          <w:sz w:val="18"/>
          <w:szCs w:val="18"/>
        </w:rPr>
        <w:t>oic</w:t>
      </w:r>
      <w:proofErr w:type="spellEnd"/>
      <w:r>
        <w:rPr>
          <w:rFonts w:ascii="Consolas" w:eastAsia="Consolas" w:hAnsi="Consolas" w:cs="Consolas"/>
          <w:color w:val="5A4634"/>
          <w:sz w:val="18"/>
          <w:szCs w:val="18"/>
        </w:rPr>
        <w:t>-&lt;env&gt;-fusion</w:t>
      </w:r>
      <w:r>
        <w:t>.</w:t>
      </w:r>
    </w:p>
    <w:p w14:paraId="78045894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OIC calls Fusion REST/SOAP with OAuth2 client-credentials (2-legged) for system-to-system, or JWT/3-legged where a specific user context is required. Grant only the Fusion scopes needed (Appendix B).</w:t>
      </w:r>
    </w:p>
    <w:p w14:paraId="59C71795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Store the client secret / signing key in OCI Vault; OIC reads it at runtime via resource principal / dynamic group. Rotate every 90 days. Avoid basic-auth service accounts unless a specific API has no OAuth option (document as an exception).</w:t>
      </w:r>
    </w:p>
    <w:p w14:paraId="45E085AC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>6.3 OIC connectivity and files</w:t>
      </w:r>
    </w:p>
    <w:p w14:paraId="5174E975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The OIC connectivity agent bridges private endpoints; SFTP/file exchange uses SSH keys pinned to named counterparties. These are machine-plane credentials — also in Vault, also rotated.</w:t>
      </w:r>
    </w:p>
    <w:p w14:paraId="0D2CFC68" w14:textId="77777777" w:rsidR="006008C6" w:rsidRDefault="00171BF0">
      <w:r>
        <w:br w:type="page"/>
      </w:r>
    </w:p>
    <w:p w14:paraId="11DBDF86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7. Bridge 4 — ATP (Human DB Auth + Service Credentials)</w:t>
      </w:r>
    </w:p>
    <w:p w14:paraId="3B1AE4EE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>7.1 Human database access</w:t>
      </w:r>
    </w:p>
    <w:p w14:paraId="11CD62B8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 xml:space="preserve">Use </w:t>
      </w:r>
      <w:r>
        <w:rPr>
          <w:b/>
          <w:bCs/>
        </w:rPr>
        <w:t>IAM database authentication</w:t>
      </w:r>
      <w:r>
        <w:t>: human DBAs authenticate to ATP with their federated OCI identity (from the Entra-federated domain) and a short-lived DB token — no shared local DB passwords. Map OCI groups to ATP DB roles.</w:t>
      </w:r>
    </w:p>
    <w:p w14:paraId="0F50E1AC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This gives you one identity lifecycle (Entra → domain → ATP) and one place to revoke: disable the person in Entra and their DB access follows.</w:t>
      </w:r>
    </w:p>
    <w:p w14:paraId="2CEE3922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>7.2 Application / OIC access</w:t>
      </w:r>
    </w:p>
    <w:p w14:paraId="4A12A94A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 xml:space="preserve">Applications and OIC connect with an </w:t>
      </w:r>
      <w:proofErr w:type="spellStart"/>
      <w:r>
        <w:rPr>
          <w:b/>
          <w:bCs/>
        </w:rPr>
        <w:t>mTLS</w:t>
      </w:r>
      <w:proofErr w:type="spellEnd"/>
      <w:r>
        <w:rPr>
          <w:b/>
          <w:bCs/>
        </w:rPr>
        <w:t xml:space="preserve"> wallet</w:t>
      </w:r>
      <w:r>
        <w:t xml:space="preserve"> and a least-privileged DB service account; the wallet and credential live in OCI Vault. Do not embed wallets in images or repos.</w:t>
      </w:r>
    </w:p>
    <w:p w14:paraId="48F550DA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ATP on a private endpoint in the app-processing subnet; NSG allows 1522 only from the OIC/app subnet. The database initiates nothing outbound.</w:t>
      </w:r>
    </w:p>
    <w:p w14:paraId="062B944A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>7.3 Encryption and keys</w:t>
      </w:r>
    </w:p>
    <w:p w14:paraId="50E48D3C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>TDE with customer-managed keys from the environment's Vault; restrict key/vault administration to the security group; key deletion is irreversible and board-approved.</w:t>
      </w:r>
    </w:p>
    <w:p w14:paraId="6B0B1308" w14:textId="77777777" w:rsidR="006008C6" w:rsidRDefault="00171BF0">
      <w:pPr>
        <w:pBdr>
          <w:top w:val="single" w:sz="6" w:space="0" w:color="3E7C7B"/>
          <w:left w:val="single" w:sz="6" w:space="0" w:color="3E7C7B"/>
          <w:bottom w:val="single" w:sz="6" w:space="0" w:color="3E7C7B"/>
          <w:right w:val="single" w:sz="6" w:space="0" w:color="3E7C7B"/>
        </w:pBdr>
        <w:shd w:val="clear" w:color="auto" w:fill="EAF1F0"/>
        <w:spacing w:before="80" w:after="120"/>
      </w:pPr>
      <w:r>
        <w:rPr>
          <w:b/>
          <w:bCs/>
          <w:color w:val="3E7C7B"/>
        </w:rPr>
        <w:t xml:space="preserve">Guard-rail. </w:t>
      </w:r>
      <w:r>
        <w:t>ATP here is for OIC staging, custom/partner persistence and integration cross-reference data — never a Fusion backing store, and no bulk replication of Fusion transactional data outside FDI.</w:t>
      </w:r>
    </w:p>
    <w:p w14:paraId="22E60AC0" w14:textId="77777777" w:rsidR="006008C6" w:rsidRDefault="00171BF0">
      <w:r>
        <w:br w:type="page"/>
      </w:r>
    </w:p>
    <w:p w14:paraId="6E373081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8. Environment Isolation and Blast-Radius Model</w:t>
      </w:r>
    </w:p>
    <w:p w14:paraId="564CAD03" w14:textId="77777777" w:rsidR="006008C6" w:rsidRDefault="00171BF0">
      <w:pPr>
        <w:spacing w:after="130"/>
      </w:pPr>
      <w:r>
        <w:rPr>
          <w:sz w:val="20"/>
          <w:szCs w:val="20"/>
        </w:rPr>
        <w:t>Six domains, six enterprise apps, six OAuth trust boundaries. The table shows what stays independent per environment.</w:t>
      </w: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3400"/>
        <w:gridCol w:w="3500"/>
      </w:tblGrid>
      <w:tr w:rsidR="006008C6" w14:paraId="71D59B8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56963883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Dimension</w:t>
            </w:r>
          </w:p>
        </w:tc>
        <w:tc>
          <w:tcPr>
            <w:tcW w:w="3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5C02CD0F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Per-environment (isolated)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2819F9F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Why it matters</w:t>
            </w:r>
          </w:p>
        </w:tc>
      </w:tr>
      <w:tr w:rsidR="006008C6" w14:paraId="046BAAC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ABCAB84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Identity domain + Entra app</w:t>
            </w:r>
          </w:p>
        </w:tc>
        <w:tc>
          <w:tcPr>
            <w:tcW w:w="3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30CAB37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DOM-DEV</w:t>
            </w:r>
            <w:proofErr w:type="gramStart"/>
            <w:r>
              <w:rPr>
                <w:sz w:val="15"/>
                <w:szCs w:val="15"/>
              </w:rPr>
              <w:t>1..</w:t>
            </w:r>
            <w:proofErr w:type="gramEnd"/>
            <w:r>
              <w:rPr>
                <w:sz w:val="15"/>
                <w:szCs w:val="15"/>
              </w:rPr>
              <w:t>PROD, each with CB-OCI-&lt;ENV&gt;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381122AA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A change/mistake in one env cannot break another's SSO</w:t>
            </w:r>
          </w:p>
        </w:tc>
      </w:tr>
      <w:tr w:rsidR="006008C6" w14:paraId="6AD59FB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31825D2B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SAML signing certificate</w:t>
            </w:r>
          </w:p>
        </w:tc>
        <w:tc>
          <w:tcPr>
            <w:tcW w:w="3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13D1728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Per app; rotate staggered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FAE3FE2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No estate-wide simultaneous cert outage</w:t>
            </w:r>
          </w:p>
        </w:tc>
      </w:tr>
      <w:tr w:rsidR="006008C6" w14:paraId="3D716FD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05DD8F3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Conditional Access / PIM</w:t>
            </w:r>
          </w:p>
        </w:tc>
        <w:tc>
          <w:tcPr>
            <w:tcW w:w="3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B589A40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Baseline in Dev; strict + PIM in Prod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1225707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Prod gets tighter controls than Dev</w:t>
            </w:r>
          </w:p>
        </w:tc>
      </w:tr>
      <w:tr w:rsidR="006008C6" w14:paraId="7348815C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3DCBC89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OAuth confidential app (OIC)</w:t>
            </w:r>
          </w:p>
        </w:tc>
        <w:tc>
          <w:tcPr>
            <w:tcW w:w="3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639B268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svc-</w:t>
            </w:r>
            <w:proofErr w:type="spellStart"/>
            <w:r>
              <w:rPr>
                <w:sz w:val="15"/>
                <w:szCs w:val="15"/>
              </w:rPr>
              <w:t>oic</w:t>
            </w:r>
            <w:proofErr w:type="spellEnd"/>
            <w:r>
              <w:rPr>
                <w:sz w:val="15"/>
                <w:szCs w:val="15"/>
              </w:rPr>
              <w:t>-&lt;env&gt;-* per domain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6E7E0310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 xml:space="preserve">Compromise of a Dev </w:t>
            </w:r>
            <w:proofErr w:type="gramStart"/>
            <w:r>
              <w:rPr>
                <w:sz w:val="15"/>
                <w:szCs w:val="15"/>
              </w:rPr>
              <w:t>secret</w:t>
            </w:r>
            <w:proofErr w:type="gramEnd"/>
            <w:r>
              <w:rPr>
                <w:sz w:val="15"/>
                <w:szCs w:val="15"/>
              </w:rPr>
              <w:t xml:space="preserve"> </w:t>
            </w:r>
            <w:proofErr w:type="gramStart"/>
            <w:r>
              <w:rPr>
                <w:sz w:val="15"/>
                <w:szCs w:val="15"/>
              </w:rPr>
              <w:t>does</w:t>
            </w:r>
            <w:proofErr w:type="gramEnd"/>
            <w:r>
              <w:rPr>
                <w:sz w:val="15"/>
                <w:szCs w:val="15"/>
              </w:rPr>
              <w:t xml:space="preserve"> </w:t>
            </w:r>
            <w:proofErr w:type="gramStart"/>
            <w:r>
              <w:rPr>
                <w:sz w:val="15"/>
                <w:szCs w:val="15"/>
              </w:rPr>
              <w:t>not</w:t>
            </w:r>
            <w:proofErr w:type="gramEnd"/>
            <w:r>
              <w:rPr>
                <w:sz w:val="15"/>
                <w:szCs w:val="15"/>
              </w:rPr>
              <w:t xml:space="preserve"> </w:t>
            </w:r>
            <w:proofErr w:type="gramStart"/>
            <w:r>
              <w:rPr>
                <w:sz w:val="15"/>
                <w:szCs w:val="15"/>
              </w:rPr>
              <w:t>reach</w:t>
            </w:r>
            <w:proofErr w:type="gramEnd"/>
            <w:r>
              <w:rPr>
                <w:sz w:val="15"/>
                <w:szCs w:val="15"/>
              </w:rPr>
              <w:t xml:space="preserve"> Prod Fusion</w:t>
            </w:r>
          </w:p>
        </w:tc>
      </w:tr>
      <w:tr w:rsidR="006008C6" w14:paraId="5D528075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3F978CB3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ATP wallet / DB accounts</w:t>
            </w:r>
          </w:p>
        </w:tc>
        <w:tc>
          <w:tcPr>
            <w:tcW w:w="3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33FD869F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Per env, in that env's Vault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0224234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Blast radius of a leaked wallet is one environment</w:t>
            </w:r>
          </w:p>
        </w:tc>
      </w:tr>
      <w:tr w:rsidR="006008C6" w14:paraId="55B1414A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116F1DA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Sign-in audit</w:t>
            </w:r>
          </w:p>
        </w:tc>
        <w:tc>
          <w:tcPr>
            <w:tcW w:w="34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84920DF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Per domain</w:t>
            </w:r>
          </w:p>
        </w:tc>
        <w:tc>
          <w:tcPr>
            <w:tcW w:w="35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87EDB56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Clean per-environment attribution and certification</w:t>
            </w:r>
          </w:p>
        </w:tc>
      </w:tr>
    </w:tbl>
    <w:p w14:paraId="0C22A5ED" w14:textId="77777777" w:rsidR="006008C6" w:rsidRDefault="00171BF0">
      <w:r>
        <w:br w:type="page"/>
      </w:r>
    </w:p>
    <w:p w14:paraId="28443A1C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9. Security Controls and Guardrails</w:t>
      </w:r>
    </w:p>
    <w:p w14:paraId="5C7602CF" w14:textId="77777777" w:rsidR="006008C6" w:rsidRDefault="00171BF0"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MFA + Conditional Access. </w:t>
      </w:r>
      <w:r>
        <w:t>Enforced at Entra for every human sign-in; strict policy on Prod/platform.</w:t>
      </w:r>
    </w:p>
    <w:p w14:paraId="3656B9B5" w14:textId="77777777" w:rsidR="006008C6" w:rsidRDefault="00171BF0"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PIM. </w:t>
      </w:r>
      <w:r>
        <w:t xml:space="preserve">Admin roles (domain admin, OIC </w:t>
      </w:r>
      <w:proofErr w:type="spellStart"/>
      <w:r>
        <w:t>ServiceAdministrator</w:t>
      </w:r>
      <w:proofErr w:type="spellEnd"/>
      <w:r>
        <w:t>, ATP admin) are PIM-eligible with just-in-time activation and approval on Prod.</w:t>
      </w:r>
    </w:p>
    <w:p w14:paraId="381F2DEB" w14:textId="77777777" w:rsidR="006008C6" w:rsidRDefault="00171BF0"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Break-glass alarm. </w:t>
      </w:r>
      <w:r>
        <w:t>An Events rule on successful sign-in by the break-glass accounts pages Security within 5 minutes; tested.</w:t>
      </w:r>
    </w:p>
    <w:p w14:paraId="1F31700F" w14:textId="77777777" w:rsidR="006008C6" w:rsidRDefault="00171BF0"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Secrets &amp; keys. </w:t>
      </w:r>
      <w:r>
        <w:t>OCI Vault, customer-managed keys; 90-day rotation; no cleartext secrets in OIC connections; wallets never in repos/images.</w:t>
      </w:r>
    </w:p>
    <w:p w14:paraId="46A4A134" w14:textId="77777777" w:rsidR="006008C6" w:rsidRDefault="00171BF0"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Certificate rotation. </w:t>
      </w:r>
      <w:r>
        <w:t>Track all six SAML signing-cert expiries; rotate staggered, never all-at-once.</w:t>
      </w:r>
    </w:p>
    <w:p w14:paraId="34C912BF" w14:textId="77777777" w:rsidR="006008C6" w:rsidRDefault="00171BF0"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Logging &amp; SIEM. </w:t>
      </w:r>
      <w:r>
        <w:t xml:space="preserve">Audit retention </w:t>
      </w:r>
      <w:proofErr w:type="spellStart"/>
      <w:r>
        <w:t>maximised</w:t>
      </w:r>
      <w:proofErr w:type="spellEnd"/>
      <w:r>
        <w:t>; domain sign-in logs and Cloud Guard problems streamed via Service Connector Hub to the SOC/SIEM.</w:t>
      </w:r>
    </w:p>
    <w:p w14:paraId="20E0EE79" w14:textId="77777777" w:rsidR="006008C6" w:rsidRDefault="00171BF0"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Cloud Guard &amp; Security Zones. </w:t>
      </w:r>
      <w:r>
        <w:t>Detect-only baseline graduating to alert/respond; Security Zones on Prod, Vault and Analytics.</w:t>
      </w:r>
    </w:p>
    <w:p w14:paraId="70295D90" w14:textId="77777777" w:rsidR="006008C6" w:rsidRDefault="00171BF0">
      <w:pPr>
        <w:pStyle w:val="ListParagraph"/>
        <w:numPr>
          <w:ilvl w:val="0"/>
          <w:numId w:val="3"/>
        </w:numPr>
        <w:spacing w:after="60"/>
      </w:pPr>
      <w:r>
        <w:rPr>
          <w:b/>
          <w:bCs/>
        </w:rPr>
        <w:t xml:space="preserve">Access certification. </w:t>
      </w:r>
      <w:r>
        <w:t>Quarterly, on BOTH planes — OCI/domain groups AND Fusion roles/</w:t>
      </w:r>
      <w:proofErr w:type="spellStart"/>
      <w:r>
        <w:t>SoD</w:t>
      </w:r>
      <w:proofErr w:type="spellEnd"/>
      <w:r>
        <w:t>; partner access time-boxed and re-attested.</w:t>
      </w:r>
    </w:p>
    <w:p w14:paraId="7DF753B2" w14:textId="77777777" w:rsidR="006008C6" w:rsidRDefault="00171BF0">
      <w:r>
        <w:br w:type="page"/>
      </w:r>
    </w:p>
    <w:p w14:paraId="1452D392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10. Recommendations Summary (Do / Avoid)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0"/>
        <w:gridCol w:w="4850"/>
      </w:tblGrid>
      <w:tr w:rsidR="006008C6" w14:paraId="5A5FF80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88B3DEA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Do</w:t>
            </w:r>
          </w:p>
        </w:tc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0D3047D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Avoid</w:t>
            </w:r>
          </w:p>
        </w:tc>
      </w:tr>
      <w:tr w:rsidR="006008C6" w14:paraId="4A775B37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EBA8BAB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One identity domain + one Entra app per environment</w:t>
            </w:r>
          </w:p>
        </w:tc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58CED45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A single shared domain/app federating all six pods</w:t>
            </w:r>
          </w:p>
        </w:tc>
      </w:tr>
      <w:tr w:rsidR="006008C6" w14:paraId="40534BF9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5FF31D14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Separate human (SAML) and machine (OAuth2/</w:t>
            </w:r>
            <w:proofErr w:type="spellStart"/>
            <w:r>
              <w:rPr>
                <w:sz w:val="15"/>
                <w:szCs w:val="15"/>
              </w:rPr>
              <w:t>mTLS</w:t>
            </w:r>
            <w:proofErr w:type="spellEnd"/>
            <w:r>
              <w:rPr>
                <w:sz w:val="15"/>
                <w:szCs w:val="15"/>
              </w:rPr>
              <w:t>) planes</w:t>
            </w:r>
          </w:p>
        </w:tc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CAF68C7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 xml:space="preserve">Using a person's federated login for </w:t>
            </w:r>
            <w:proofErr w:type="spellStart"/>
            <w:r>
              <w:rPr>
                <w:sz w:val="15"/>
                <w:szCs w:val="15"/>
              </w:rPr>
              <w:t>OIC→Fusion</w:t>
            </w:r>
            <w:proofErr w:type="spellEnd"/>
          </w:p>
        </w:tc>
      </w:tr>
      <w:tr w:rsidR="006008C6" w14:paraId="32C72395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56965357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 xml:space="preserve">OAuth2 client-credentials/JWT for </w:t>
            </w:r>
            <w:proofErr w:type="spellStart"/>
            <w:r>
              <w:rPr>
                <w:sz w:val="15"/>
                <w:szCs w:val="15"/>
              </w:rPr>
              <w:t>OIC→Fusion</w:t>
            </w:r>
            <w:proofErr w:type="spellEnd"/>
          </w:p>
        </w:tc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6008202C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Basic-auth service accounts where OAuth exists</w:t>
            </w:r>
          </w:p>
        </w:tc>
      </w:tr>
      <w:tr w:rsidR="006008C6" w14:paraId="7C8CACC6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CACDEAD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 xml:space="preserve">IAM DB </w:t>
            </w:r>
            <w:proofErr w:type="gramStart"/>
            <w:r>
              <w:rPr>
                <w:sz w:val="15"/>
                <w:szCs w:val="15"/>
              </w:rPr>
              <w:t>auth</w:t>
            </w:r>
            <w:proofErr w:type="gramEnd"/>
            <w:r>
              <w:rPr>
                <w:sz w:val="15"/>
                <w:szCs w:val="15"/>
              </w:rPr>
              <w:t xml:space="preserve"> for human ATP access; </w:t>
            </w:r>
            <w:proofErr w:type="spellStart"/>
            <w:r>
              <w:rPr>
                <w:sz w:val="15"/>
                <w:szCs w:val="15"/>
              </w:rPr>
              <w:t>wallet+Vault</w:t>
            </w:r>
            <w:proofErr w:type="spellEnd"/>
            <w:r>
              <w:rPr>
                <w:sz w:val="15"/>
                <w:szCs w:val="15"/>
              </w:rPr>
              <w:t xml:space="preserve"> for apps</w:t>
            </w:r>
          </w:p>
        </w:tc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EE75AA1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Shared local DB passwords; wallets in repos/images</w:t>
            </w:r>
          </w:p>
        </w:tc>
      </w:tr>
      <w:tr w:rsidR="006008C6" w14:paraId="38941A75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3BCD2369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SCIM provisioning, JIT off, HCM as worker source</w:t>
            </w:r>
          </w:p>
        </w:tc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7D45A2C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Manual/duplicate provisioning; JIT sprawl</w:t>
            </w:r>
          </w:p>
        </w:tc>
      </w:tr>
      <w:tr w:rsidR="006008C6" w14:paraId="7BB49D5F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4C7D77E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Break-glass local, excluded from federation, alarmed</w:t>
            </w:r>
          </w:p>
        </w:tc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1A2C036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Federating the Default domain / no backdoor</w:t>
            </w:r>
          </w:p>
        </w:tc>
      </w:tr>
      <w:tr w:rsidR="006008C6" w14:paraId="36E8E449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5B0649D5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Strict CA + PIM on Prod; staggered cert rotation</w:t>
            </w:r>
          </w:p>
        </w:tc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B4B6831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One CA policy and one cert for the whole estate</w:t>
            </w:r>
          </w:p>
        </w:tc>
      </w:tr>
      <w:tr w:rsidR="006008C6" w14:paraId="31F8F204" w14:textId="77777777">
        <w:tblPrEx>
          <w:tblCellMar>
            <w:top w:w="0" w:type="dxa"/>
            <w:bottom w:w="0" w:type="dxa"/>
          </w:tblCellMar>
        </w:tblPrEx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F8A9F1C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>Secrets in Vault, 90-day rotation, resource-principal reads</w:t>
            </w:r>
          </w:p>
        </w:tc>
        <w:tc>
          <w:tcPr>
            <w:tcW w:w="48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406BFCD" w14:textId="77777777" w:rsidR="006008C6" w:rsidRDefault="00171BF0">
            <w:pPr>
              <w:spacing w:after="26"/>
            </w:pPr>
            <w:r>
              <w:rPr>
                <w:sz w:val="15"/>
                <w:szCs w:val="15"/>
              </w:rPr>
              <w:t xml:space="preserve">Secrets </w:t>
            </w:r>
            <w:proofErr w:type="gramStart"/>
            <w:r>
              <w:rPr>
                <w:sz w:val="15"/>
                <w:szCs w:val="15"/>
              </w:rPr>
              <w:t>pasted</w:t>
            </w:r>
            <w:proofErr w:type="gramEnd"/>
            <w:r>
              <w:rPr>
                <w:sz w:val="15"/>
                <w:szCs w:val="15"/>
              </w:rPr>
              <w:t xml:space="preserve"> into OIC connections at rest</w:t>
            </w:r>
          </w:p>
        </w:tc>
      </w:tr>
    </w:tbl>
    <w:p w14:paraId="3669556D" w14:textId="77777777" w:rsidR="006008C6" w:rsidRDefault="00171BF0">
      <w:r>
        <w:br w:type="page"/>
      </w:r>
    </w:p>
    <w:p w14:paraId="01FF0580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11. Build Sequence (High Level)</w:t>
      </w:r>
    </w:p>
    <w:p w14:paraId="2F82BD3E" w14:textId="77777777" w:rsidR="006008C6" w:rsidRDefault="00171BF0">
      <w:pPr>
        <w:pStyle w:val="ListParagraph"/>
        <w:numPr>
          <w:ilvl w:val="0"/>
          <w:numId w:val="4"/>
        </w:numPr>
        <w:spacing w:after="65"/>
      </w:pPr>
      <w:r>
        <w:t>Stand up break-glass in the Default domain; prove login + MFA; vault the credentials.</w:t>
      </w:r>
    </w:p>
    <w:p w14:paraId="45A2C0C7" w14:textId="77777777" w:rsidR="006008C6" w:rsidRDefault="00171BF0">
      <w:pPr>
        <w:pStyle w:val="ListParagraph"/>
        <w:numPr>
          <w:ilvl w:val="0"/>
          <w:numId w:val="4"/>
        </w:numPr>
        <w:spacing w:after="65"/>
      </w:pPr>
      <w:r>
        <w:t>Create the six identity domains (or confirm the Fusion pod domains) and, per domain, one Entra enterprise app; register the SAML IdP; enable SCIM; verify the IdP-group → SCIM → domain-group → role chain.</w:t>
      </w:r>
    </w:p>
    <w:p w14:paraId="0FCA6731" w14:textId="77777777" w:rsidR="006008C6" w:rsidRDefault="00171BF0">
      <w:pPr>
        <w:pStyle w:val="ListParagraph"/>
        <w:numPr>
          <w:ilvl w:val="0"/>
          <w:numId w:val="4"/>
        </w:numPr>
        <w:spacing w:after="65"/>
      </w:pPr>
      <w:r>
        <w:t>Apply Conditional Access + PIM (strict on Prod); confirm unassigned users are refused.</w:t>
      </w:r>
    </w:p>
    <w:p w14:paraId="62E56E8F" w14:textId="77777777" w:rsidR="006008C6" w:rsidRDefault="00171BF0">
      <w:pPr>
        <w:pStyle w:val="ListParagraph"/>
        <w:numPr>
          <w:ilvl w:val="0"/>
          <w:numId w:val="4"/>
        </w:numPr>
        <w:spacing w:after="65"/>
      </w:pPr>
      <w:r>
        <w:t xml:space="preserve">Per environment: register the OIC confidential OAuth2 app; wire </w:t>
      </w:r>
      <w:proofErr w:type="spellStart"/>
      <w:r>
        <w:t>OIC→Fusion</w:t>
      </w:r>
      <w:proofErr w:type="spellEnd"/>
      <w:r>
        <w:t xml:space="preserve"> with client-credentials; store secrets in Vault.</w:t>
      </w:r>
    </w:p>
    <w:p w14:paraId="16CF40CA" w14:textId="77777777" w:rsidR="006008C6" w:rsidRDefault="00171BF0">
      <w:pPr>
        <w:pStyle w:val="ListParagraph"/>
        <w:numPr>
          <w:ilvl w:val="0"/>
          <w:numId w:val="4"/>
        </w:numPr>
        <w:spacing w:after="65"/>
      </w:pPr>
      <w:r>
        <w:t xml:space="preserve">Per environment: configure ATP IAM DB auth for humans and </w:t>
      </w:r>
      <w:proofErr w:type="spellStart"/>
      <w:r>
        <w:t>mTLS</w:t>
      </w:r>
      <w:proofErr w:type="spellEnd"/>
      <w:r>
        <w:t xml:space="preserve"> wallet + service account for OIC; lock NSG 1522 to the OIC subnet.</w:t>
      </w:r>
    </w:p>
    <w:p w14:paraId="27F53AE2" w14:textId="77777777" w:rsidR="006008C6" w:rsidRDefault="00171BF0">
      <w:pPr>
        <w:pStyle w:val="ListParagraph"/>
        <w:numPr>
          <w:ilvl w:val="0"/>
          <w:numId w:val="4"/>
        </w:numPr>
        <w:spacing w:after="65"/>
      </w:pPr>
      <w:r>
        <w:t>Enable logging/SIEM export, Cloud Guard, Security Zones; schedule quarterly access certification and staggered cert rotation.</w:t>
      </w:r>
    </w:p>
    <w:p w14:paraId="05E0BE1B" w14:textId="77777777" w:rsidR="006008C6" w:rsidRDefault="00171BF0">
      <w:pPr>
        <w:pBdr>
          <w:top w:val="single" w:sz="6" w:space="0" w:color="8A6D1D"/>
          <w:left w:val="single" w:sz="6" w:space="0" w:color="8A6D1D"/>
          <w:bottom w:val="single" w:sz="6" w:space="0" w:color="8A6D1D"/>
          <w:right w:val="single" w:sz="6" w:space="0" w:color="8A6D1D"/>
        </w:pBdr>
        <w:shd w:val="clear" w:color="auto" w:fill="FBF3E3"/>
        <w:spacing w:before="80" w:after="120"/>
      </w:pPr>
      <w:r>
        <w:rPr>
          <w:b/>
          <w:bCs/>
          <w:color w:val="8A6D1D"/>
        </w:rPr>
        <w:t xml:space="preserve">Pathfinder. </w:t>
      </w:r>
      <w:r>
        <w:t xml:space="preserve">Prove the whole pattern on Dev1 first (federate, SCIM, OIC OAuth, ATP), run a deliberate </w:t>
      </w:r>
      <w:proofErr w:type="spellStart"/>
      <w:r>
        <w:t>fall-back</w:t>
      </w:r>
      <w:proofErr w:type="spellEnd"/>
      <w:r>
        <w:t xml:space="preserve"> to the previous IdP, then fan out to Dev2–Dev4 and Test, and do Prod last under a change window — the sequence used in your CR-IDN-001 rev 2 runbook.</w:t>
      </w:r>
    </w:p>
    <w:p w14:paraId="19E9C8A9" w14:textId="77777777" w:rsidR="006008C6" w:rsidRDefault="00171BF0">
      <w:r>
        <w:br w:type="page"/>
      </w:r>
    </w:p>
    <w:p w14:paraId="38C3AD5F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Appendix A — Naming Conventions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350"/>
        <w:gridCol w:w="3350"/>
      </w:tblGrid>
      <w:tr w:rsidR="006008C6" w14:paraId="6240F86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5DEF545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Object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5743727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Pattern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67499E7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Example</w:t>
            </w:r>
          </w:p>
        </w:tc>
      </w:tr>
      <w:tr w:rsidR="006008C6" w14:paraId="21EFD29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1856353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Identity domain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54048F0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DOM-&lt;ENV&gt;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2E3AD450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DOM-PROD</w:t>
            </w:r>
          </w:p>
        </w:tc>
      </w:tr>
      <w:tr w:rsidR="006008C6" w14:paraId="6EDB945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86E8FF3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Entra enterprise app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4950D62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CB-OCI-&lt;ENV&gt;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352F339B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CB-OCI-PROD</w:t>
            </w:r>
          </w:p>
        </w:tc>
      </w:tr>
      <w:tr w:rsidR="006008C6" w14:paraId="17E6FDE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8D63E3E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Domain group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E1EC7BC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OCI-&lt;ENV&gt;-&lt;ROLE&gt;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DE150D7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OCI-PROD-OIC-ADMIN</w:t>
            </w:r>
          </w:p>
        </w:tc>
      </w:tr>
      <w:tr w:rsidR="006008C6" w14:paraId="15BABAC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3A770CB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OIC OAuth service identity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99EE87A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svc-</w:t>
            </w:r>
            <w:proofErr w:type="spellStart"/>
            <w:r>
              <w:rPr>
                <w:sz w:val="16"/>
                <w:szCs w:val="16"/>
              </w:rPr>
              <w:t>oic</w:t>
            </w:r>
            <w:proofErr w:type="spellEnd"/>
            <w:r>
              <w:rPr>
                <w:sz w:val="16"/>
                <w:szCs w:val="16"/>
              </w:rPr>
              <w:t>-&lt;env&gt;-fusion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04943CD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svc-</w:t>
            </w:r>
            <w:proofErr w:type="spellStart"/>
            <w:r>
              <w:rPr>
                <w:sz w:val="16"/>
                <w:szCs w:val="16"/>
              </w:rPr>
              <w:t>oic</w:t>
            </w:r>
            <w:proofErr w:type="spellEnd"/>
            <w:r>
              <w:rPr>
                <w:sz w:val="16"/>
                <w:szCs w:val="16"/>
              </w:rPr>
              <w:t>-prod-fusion</w:t>
            </w:r>
          </w:p>
        </w:tc>
      </w:tr>
      <w:tr w:rsidR="006008C6" w14:paraId="68E0115D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379C640C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ATP service account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5B6FCF5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svc-</w:t>
            </w:r>
            <w:proofErr w:type="spellStart"/>
            <w:r>
              <w:rPr>
                <w:sz w:val="16"/>
                <w:szCs w:val="16"/>
              </w:rPr>
              <w:t>atp</w:t>
            </w:r>
            <w:proofErr w:type="spellEnd"/>
            <w:r>
              <w:rPr>
                <w:sz w:val="16"/>
                <w:szCs w:val="16"/>
              </w:rPr>
              <w:t>-&lt;env&gt;-&lt;app&gt;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5812EB77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svc-</w:t>
            </w:r>
            <w:proofErr w:type="spellStart"/>
            <w:r>
              <w:rPr>
                <w:sz w:val="16"/>
                <w:szCs w:val="16"/>
              </w:rPr>
              <w:t>atp</w:t>
            </w:r>
            <w:proofErr w:type="spellEnd"/>
            <w:r>
              <w:rPr>
                <w:sz w:val="16"/>
                <w:szCs w:val="16"/>
              </w:rPr>
              <w:t>-prod-</w:t>
            </w:r>
            <w:proofErr w:type="spellStart"/>
            <w:r>
              <w:rPr>
                <w:sz w:val="16"/>
                <w:szCs w:val="16"/>
              </w:rPr>
              <w:t>oic</w:t>
            </w:r>
            <w:proofErr w:type="spellEnd"/>
          </w:p>
        </w:tc>
      </w:tr>
      <w:tr w:rsidR="006008C6" w14:paraId="03D0ED8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7071484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Vault secret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65AB1632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SEC-&lt;SVC&gt;-&lt;ENV&gt;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6F7F5AF2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SEC-OIC-PROD-FUSION-OAUTH</w:t>
            </w:r>
          </w:p>
        </w:tc>
      </w:tr>
      <w:tr w:rsidR="006008C6" w14:paraId="79729B3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1341D72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Break-glass user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75A5F01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BG-OCI-ADMIN-0n</w:t>
            </w:r>
          </w:p>
        </w:tc>
        <w:tc>
          <w:tcPr>
            <w:tcW w:w="335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0FB72DE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BG-OCI-ADMIN-01</w:t>
            </w:r>
          </w:p>
        </w:tc>
      </w:tr>
    </w:tbl>
    <w:p w14:paraId="3CB994D3" w14:textId="77777777" w:rsidR="006008C6" w:rsidRDefault="00171BF0">
      <w:r>
        <w:br w:type="page"/>
      </w:r>
    </w:p>
    <w:p w14:paraId="368F48A1" w14:textId="77777777" w:rsidR="006008C6" w:rsidRDefault="00171BF0">
      <w:pPr>
        <w:pStyle w:val="Heading1"/>
        <w:spacing w:before="300" w:after="150"/>
      </w:pPr>
      <w:r>
        <w:rPr>
          <w:b/>
          <w:bCs/>
          <w:color w:val="C74634"/>
          <w:sz w:val="29"/>
          <w:szCs w:val="29"/>
        </w:rPr>
        <w:lastRenderedPageBreak/>
        <w:t>Appendix B — OAuth Scopes and Group Model (representative)</w:t>
      </w:r>
    </w:p>
    <w:p w14:paraId="31E22A7F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>OIC → Fusion OAuth (confidential app)</w:t>
      </w:r>
    </w:p>
    <w:p w14:paraId="4C851417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 xml:space="preserve">Grant client-credentials with the specific Fusion REST/SOAP resource scopes the integrations use (e.g., the Fusion Applications resource with the required functional </w:t>
      </w:r>
      <w:proofErr w:type="gramStart"/>
      <w:r>
        <w:t>scopes) —</w:t>
      </w:r>
      <w:proofErr w:type="gramEnd"/>
      <w:r>
        <w:t xml:space="preserve"> least privilege, reviewed per integration.</w:t>
      </w:r>
    </w:p>
    <w:p w14:paraId="28609AE9" w14:textId="77777777" w:rsidR="006008C6" w:rsidRDefault="00171BF0">
      <w:pPr>
        <w:pStyle w:val="ListParagraph"/>
        <w:numPr>
          <w:ilvl w:val="0"/>
          <w:numId w:val="3"/>
        </w:numPr>
        <w:spacing w:after="55"/>
      </w:pPr>
      <w:r>
        <w:t xml:space="preserve">Use JWT user-assertion (3-legged) only where an operation must run as a named user; </w:t>
      </w:r>
      <w:proofErr w:type="gramStart"/>
      <w:r>
        <w:t>otherwise</w:t>
      </w:r>
      <w:proofErr w:type="gramEnd"/>
      <w:r>
        <w:t xml:space="preserve"> 2-legged client-credentials.</w:t>
      </w:r>
    </w:p>
    <w:p w14:paraId="1D23AD58" w14:textId="77777777" w:rsidR="006008C6" w:rsidRDefault="00171BF0">
      <w:pPr>
        <w:pStyle w:val="Heading3"/>
        <w:spacing w:before="160" w:after="80"/>
      </w:pPr>
      <w:r>
        <w:rPr>
          <w:b/>
          <w:bCs/>
          <w:color w:val="6B6560"/>
          <w:sz w:val="22"/>
          <w:szCs w:val="22"/>
        </w:rPr>
        <w:t>Domain group → role mapping (per environment)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6100"/>
      </w:tblGrid>
      <w:tr w:rsidR="006008C6" w14:paraId="7446735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CBDD47E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Domain group (from Entra via SCIM)</w:t>
            </w:r>
          </w:p>
        </w:tc>
        <w:tc>
          <w:tcPr>
            <w:tcW w:w="6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C74634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98DE993" w14:textId="77777777" w:rsidR="006008C6" w:rsidRDefault="00171BF0">
            <w:pPr>
              <w:spacing w:after="26"/>
            </w:pPr>
            <w:r>
              <w:rPr>
                <w:b/>
                <w:bCs/>
                <w:color w:val="FFFFFF"/>
                <w:sz w:val="16"/>
                <w:szCs w:val="16"/>
              </w:rPr>
              <w:t>Grants</w:t>
            </w:r>
          </w:p>
        </w:tc>
      </w:tr>
      <w:tr w:rsidR="006008C6" w14:paraId="026F1776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DC46AC9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OCI-&lt;ENV&gt;-CONSOLE-ADMIN</w:t>
            </w:r>
          </w:p>
        </w:tc>
        <w:tc>
          <w:tcPr>
            <w:tcW w:w="6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3417D43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OCI Console admin scope for that environment's compartments</w:t>
            </w:r>
          </w:p>
        </w:tc>
      </w:tr>
      <w:tr w:rsidR="006008C6" w14:paraId="6245567B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7AE3AC1C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OCI-&lt;ENV&gt;-OIC-DEVELOPER</w:t>
            </w:r>
          </w:p>
        </w:tc>
        <w:tc>
          <w:tcPr>
            <w:tcW w:w="6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0B4E9F63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 xml:space="preserve">OIC </w:t>
            </w:r>
            <w:proofErr w:type="spellStart"/>
            <w:r>
              <w:rPr>
                <w:sz w:val="16"/>
                <w:szCs w:val="16"/>
              </w:rPr>
              <w:t>ServiceDeveloper</w:t>
            </w:r>
            <w:proofErr w:type="spellEnd"/>
            <w:r>
              <w:rPr>
                <w:sz w:val="16"/>
                <w:szCs w:val="16"/>
              </w:rPr>
              <w:t xml:space="preserve"> (Dev/Test)</w:t>
            </w:r>
          </w:p>
        </w:tc>
      </w:tr>
      <w:tr w:rsidR="006008C6" w14:paraId="6C54FCFA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9138B65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OCI-&lt;ENV&gt;-OIC-ADMIN</w:t>
            </w:r>
          </w:p>
        </w:tc>
        <w:tc>
          <w:tcPr>
            <w:tcW w:w="6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DD76BF3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 xml:space="preserve">OIC </w:t>
            </w:r>
            <w:proofErr w:type="spellStart"/>
            <w:r>
              <w:rPr>
                <w:sz w:val="16"/>
                <w:szCs w:val="16"/>
              </w:rPr>
              <w:t>ServiceAdministrator</w:t>
            </w:r>
            <w:proofErr w:type="spellEnd"/>
            <w:r>
              <w:rPr>
                <w:sz w:val="16"/>
                <w:szCs w:val="16"/>
              </w:rPr>
              <w:t xml:space="preserve"> / deploy (Test/Prod, PIM-eligible)</w:t>
            </w:r>
          </w:p>
        </w:tc>
      </w:tr>
      <w:tr w:rsidR="006008C6" w14:paraId="4247C3D9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1379E966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OCI-&lt;ENV&gt;-DBA</w:t>
            </w:r>
          </w:p>
        </w:tc>
        <w:tc>
          <w:tcPr>
            <w:tcW w:w="6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FFFFF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46FBBB28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 xml:space="preserve">ATP IAM DB </w:t>
            </w:r>
            <w:proofErr w:type="gramStart"/>
            <w:r>
              <w:rPr>
                <w:sz w:val="16"/>
                <w:szCs w:val="16"/>
              </w:rPr>
              <w:t>auth →</w:t>
            </w:r>
            <w:proofErr w:type="gramEnd"/>
            <w:r>
              <w:rPr>
                <w:sz w:val="16"/>
                <w:szCs w:val="16"/>
              </w:rPr>
              <w:t xml:space="preserve"> DBA role (PIM-eligible on Prod)</w:t>
            </w:r>
          </w:p>
        </w:tc>
      </w:tr>
      <w:tr w:rsidR="006008C6" w14:paraId="61A09EED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56313F43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OCI-&lt;ENV&gt;-OAC-AUTHOR / -CONSUMER</w:t>
            </w:r>
          </w:p>
        </w:tc>
        <w:tc>
          <w:tcPr>
            <w:tcW w:w="6100" w:type="dxa"/>
            <w:tcBorders>
              <w:top w:val="single" w:sz="4" w:space="0" w:color="D9D2CA"/>
              <w:left w:val="single" w:sz="4" w:space="0" w:color="D9D2CA"/>
              <w:bottom w:val="single" w:sz="4" w:space="0" w:color="D9D2CA"/>
              <w:right w:val="single" w:sz="4" w:space="0" w:color="D9D2CA"/>
            </w:tcBorders>
            <w:shd w:val="clear" w:color="auto" w:fill="F5F0EA"/>
            <w:tcMar>
              <w:top w:w="44" w:type="dxa"/>
              <w:left w:w="78" w:type="dxa"/>
              <w:bottom w:w="44" w:type="dxa"/>
              <w:right w:w="78" w:type="dxa"/>
            </w:tcMar>
          </w:tcPr>
          <w:p w14:paraId="3A54C89A" w14:textId="77777777" w:rsidR="006008C6" w:rsidRDefault="00171BF0">
            <w:pPr>
              <w:spacing w:after="26"/>
            </w:pPr>
            <w:r>
              <w:rPr>
                <w:sz w:val="16"/>
                <w:szCs w:val="16"/>
              </w:rPr>
              <w:t>OAC analytics author / consumer</w:t>
            </w:r>
          </w:p>
        </w:tc>
      </w:tr>
    </w:tbl>
    <w:p w14:paraId="69FDC1E9" w14:textId="77777777" w:rsidR="006008C6" w:rsidRDefault="00171BF0">
      <w:pPr>
        <w:spacing w:after="130"/>
      </w:pPr>
      <w:r>
        <w:rPr>
          <w:i/>
          <w:iCs/>
          <w:color w:val="6B6560"/>
          <w:sz w:val="18"/>
          <w:szCs w:val="18"/>
        </w:rPr>
        <w:t xml:space="preserve">This is a v1.0 advisory draft. Validate every scope, group and </w:t>
      </w:r>
      <w:proofErr w:type="spellStart"/>
      <w:r>
        <w:rPr>
          <w:i/>
          <w:iCs/>
          <w:color w:val="6B6560"/>
          <w:sz w:val="18"/>
          <w:szCs w:val="18"/>
        </w:rPr>
        <w:t>pod↔domain</w:t>
      </w:r>
      <w:proofErr w:type="spellEnd"/>
      <w:r>
        <w:rPr>
          <w:i/>
          <w:iCs/>
          <w:color w:val="6B6560"/>
          <w:sz w:val="18"/>
          <w:szCs w:val="18"/>
        </w:rPr>
        <w:t xml:space="preserve"> binding against current Oracle documentation and your tenancy before implementation; align with CR-IDN-001 rev 2 (per-environment federation) and the landing-zone design.</w:t>
      </w:r>
    </w:p>
    <w:sectPr w:rsidR="006008C6">
      <w:pgSz w:w="12240" w:h="15840"/>
      <w:pgMar w:top="1080" w:right="1120" w:bottom="1080" w:left="11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22C6D"/>
    <w:multiLevelType w:val="hybridMultilevel"/>
    <w:tmpl w:val="03CAD734"/>
    <w:lvl w:ilvl="0" w:tplc="68F863C2">
      <w:start w:val="1"/>
      <w:numFmt w:val="bullet"/>
      <w:lvlText w:val="•"/>
      <w:lvlJc w:val="left"/>
      <w:pPr>
        <w:ind w:left="360" w:hanging="200"/>
      </w:pPr>
    </w:lvl>
    <w:lvl w:ilvl="1" w:tplc="666A6036">
      <w:numFmt w:val="decimal"/>
      <w:lvlText w:val=""/>
      <w:lvlJc w:val="left"/>
    </w:lvl>
    <w:lvl w:ilvl="2" w:tplc="7BEA3692">
      <w:numFmt w:val="decimal"/>
      <w:lvlText w:val=""/>
      <w:lvlJc w:val="left"/>
    </w:lvl>
    <w:lvl w:ilvl="3" w:tplc="05BE88BC">
      <w:numFmt w:val="decimal"/>
      <w:lvlText w:val=""/>
      <w:lvlJc w:val="left"/>
    </w:lvl>
    <w:lvl w:ilvl="4" w:tplc="39ACC994">
      <w:numFmt w:val="decimal"/>
      <w:lvlText w:val=""/>
      <w:lvlJc w:val="left"/>
    </w:lvl>
    <w:lvl w:ilvl="5" w:tplc="EA40591A">
      <w:numFmt w:val="decimal"/>
      <w:lvlText w:val=""/>
      <w:lvlJc w:val="left"/>
    </w:lvl>
    <w:lvl w:ilvl="6" w:tplc="C186D476">
      <w:numFmt w:val="decimal"/>
      <w:lvlText w:val=""/>
      <w:lvlJc w:val="left"/>
    </w:lvl>
    <w:lvl w:ilvl="7" w:tplc="6D6C1FE4">
      <w:numFmt w:val="decimal"/>
      <w:lvlText w:val=""/>
      <w:lvlJc w:val="left"/>
    </w:lvl>
    <w:lvl w:ilvl="8" w:tplc="D0AE3F70">
      <w:numFmt w:val="decimal"/>
      <w:lvlText w:val=""/>
      <w:lvlJc w:val="left"/>
    </w:lvl>
  </w:abstractNum>
  <w:abstractNum w:abstractNumId="1" w15:restartNumberingAfterBreak="0">
    <w:nsid w:val="4E0B4618"/>
    <w:multiLevelType w:val="hybridMultilevel"/>
    <w:tmpl w:val="72EA1D3E"/>
    <w:lvl w:ilvl="0" w:tplc="12D00ABC">
      <w:start w:val="1"/>
      <w:numFmt w:val="decimal"/>
      <w:lvlText w:val="%1."/>
      <w:lvlJc w:val="left"/>
      <w:pPr>
        <w:ind w:left="400" w:hanging="260"/>
      </w:pPr>
    </w:lvl>
    <w:lvl w:ilvl="1" w:tplc="18FE074A">
      <w:numFmt w:val="decimal"/>
      <w:lvlText w:val=""/>
      <w:lvlJc w:val="left"/>
    </w:lvl>
    <w:lvl w:ilvl="2" w:tplc="033A139C">
      <w:numFmt w:val="decimal"/>
      <w:lvlText w:val=""/>
      <w:lvlJc w:val="left"/>
    </w:lvl>
    <w:lvl w:ilvl="3" w:tplc="9A44D2D4">
      <w:numFmt w:val="decimal"/>
      <w:lvlText w:val=""/>
      <w:lvlJc w:val="left"/>
    </w:lvl>
    <w:lvl w:ilvl="4" w:tplc="BE8A5394">
      <w:numFmt w:val="decimal"/>
      <w:lvlText w:val=""/>
      <w:lvlJc w:val="left"/>
    </w:lvl>
    <w:lvl w:ilvl="5" w:tplc="AD4CD3F0">
      <w:numFmt w:val="decimal"/>
      <w:lvlText w:val=""/>
      <w:lvlJc w:val="left"/>
    </w:lvl>
    <w:lvl w:ilvl="6" w:tplc="3B08149A">
      <w:numFmt w:val="decimal"/>
      <w:lvlText w:val=""/>
      <w:lvlJc w:val="left"/>
    </w:lvl>
    <w:lvl w:ilvl="7" w:tplc="CC349B2E">
      <w:numFmt w:val="decimal"/>
      <w:lvlText w:val=""/>
      <w:lvlJc w:val="left"/>
    </w:lvl>
    <w:lvl w:ilvl="8" w:tplc="9A2C1FE0">
      <w:numFmt w:val="decimal"/>
      <w:lvlText w:val=""/>
      <w:lvlJc w:val="left"/>
    </w:lvl>
  </w:abstractNum>
  <w:abstractNum w:abstractNumId="2" w15:restartNumberingAfterBreak="0">
    <w:nsid w:val="6DF92D19"/>
    <w:multiLevelType w:val="hybridMultilevel"/>
    <w:tmpl w:val="B6300210"/>
    <w:lvl w:ilvl="0" w:tplc="73065206">
      <w:start w:val="1"/>
      <w:numFmt w:val="bullet"/>
      <w:lvlText w:val="●"/>
      <w:lvlJc w:val="left"/>
      <w:pPr>
        <w:ind w:left="720" w:hanging="360"/>
      </w:pPr>
    </w:lvl>
    <w:lvl w:ilvl="1" w:tplc="4B022442">
      <w:start w:val="1"/>
      <w:numFmt w:val="bullet"/>
      <w:lvlText w:val="○"/>
      <w:lvlJc w:val="left"/>
      <w:pPr>
        <w:ind w:left="1440" w:hanging="360"/>
      </w:pPr>
    </w:lvl>
    <w:lvl w:ilvl="2" w:tplc="7C042BB0">
      <w:start w:val="1"/>
      <w:numFmt w:val="bullet"/>
      <w:lvlText w:val="■"/>
      <w:lvlJc w:val="left"/>
      <w:pPr>
        <w:ind w:left="2160" w:hanging="360"/>
      </w:pPr>
    </w:lvl>
    <w:lvl w:ilvl="3" w:tplc="7A884A98">
      <w:start w:val="1"/>
      <w:numFmt w:val="bullet"/>
      <w:lvlText w:val="●"/>
      <w:lvlJc w:val="left"/>
      <w:pPr>
        <w:ind w:left="2880" w:hanging="360"/>
      </w:pPr>
    </w:lvl>
    <w:lvl w:ilvl="4" w:tplc="31D4E020">
      <w:start w:val="1"/>
      <w:numFmt w:val="bullet"/>
      <w:lvlText w:val="○"/>
      <w:lvlJc w:val="left"/>
      <w:pPr>
        <w:ind w:left="3600" w:hanging="360"/>
      </w:pPr>
    </w:lvl>
    <w:lvl w:ilvl="5" w:tplc="AB76619A">
      <w:start w:val="1"/>
      <w:numFmt w:val="bullet"/>
      <w:lvlText w:val="■"/>
      <w:lvlJc w:val="left"/>
      <w:pPr>
        <w:ind w:left="4320" w:hanging="360"/>
      </w:pPr>
    </w:lvl>
    <w:lvl w:ilvl="6" w:tplc="A8A075E0">
      <w:start w:val="1"/>
      <w:numFmt w:val="bullet"/>
      <w:lvlText w:val="●"/>
      <w:lvlJc w:val="left"/>
      <w:pPr>
        <w:ind w:left="5040" w:hanging="360"/>
      </w:pPr>
    </w:lvl>
    <w:lvl w:ilvl="7" w:tplc="709C772C">
      <w:start w:val="1"/>
      <w:numFmt w:val="bullet"/>
      <w:lvlText w:val="●"/>
      <w:lvlJc w:val="left"/>
      <w:pPr>
        <w:ind w:left="5760" w:hanging="360"/>
      </w:pPr>
    </w:lvl>
    <w:lvl w:ilvl="8" w:tplc="792C13A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2BE3DCF"/>
    <w:multiLevelType w:val="hybridMultilevel"/>
    <w:tmpl w:val="DC509AE8"/>
    <w:lvl w:ilvl="0" w:tplc="42B8FCF8">
      <w:start w:val="1"/>
      <w:numFmt w:val="decimal"/>
      <w:lvlText w:val="%1."/>
      <w:lvlJc w:val="left"/>
      <w:pPr>
        <w:ind w:left="400" w:hanging="260"/>
      </w:pPr>
    </w:lvl>
    <w:lvl w:ilvl="1" w:tplc="527A92D0">
      <w:numFmt w:val="decimal"/>
      <w:lvlText w:val=""/>
      <w:lvlJc w:val="left"/>
    </w:lvl>
    <w:lvl w:ilvl="2" w:tplc="B53A0A6A">
      <w:numFmt w:val="decimal"/>
      <w:lvlText w:val=""/>
      <w:lvlJc w:val="left"/>
    </w:lvl>
    <w:lvl w:ilvl="3" w:tplc="D212B496">
      <w:numFmt w:val="decimal"/>
      <w:lvlText w:val=""/>
      <w:lvlJc w:val="left"/>
    </w:lvl>
    <w:lvl w:ilvl="4" w:tplc="6CDEFB8E">
      <w:numFmt w:val="decimal"/>
      <w:lvlText w:val=""/>
      <w:lvlJc w:val="left"/>
    </w:lvl>
    <w:lvl w:ilvl="5" w:tplc="198A3866">
      <w:numFmt w:val="decimal"/>
      <w:lvlText w:val=""/>
      <w:lvlJc w:val="left"/>
    </w:lvl>
    <w:lvl w:ilvl="6" w:tplc="25C6603C">
      <w:numFmt w:val="decimal"/>
      <w:lvlText w:val=""/>
      <w:lvlJc w:val="left"/>
    </w:lvl>
    <w:lvl w:ilvl="7" w:tplc="73C8577A">
      <w:numFmt w:val="decimal"/>
      <w:lvlText w:val=""/>
      <w:lvlJc w:val="left"/>
    </w:lvl>
    <w:lvl w:ilvl="8" w:tplc="4B36EC18">
      <w:numFmt w:val="decimal"/>
      <w:lvlText w:val=""/>
      <w:lvlJc w:val="left"/>
    </w:lvl>
  </w:abstractNum>
  <w:num w:numId="1" w16cid:durableId="867794686">
    <w:abstractNumId w:val="2"/>
    <w:lvlOverride w:ilvl="0">
      <w:startOverride w:val="1"/>
    </w:lvlOverride>
  </w:num>
  <w:num w:numId="2" w16cid:durableId="1612587748">
    <w:abstractNumId w:val="3"/>
    <w:lvlOverride w:ilvl="0">
      <w:startOverride w:val="1"/>
    </w:lvlOverride>
  </w:num>
  <w:num w:numId="3" w16cid:durableId="881134109">
    <w:abstractNumId w:val="0"/>
    <w:lvlOverride w:ilvl="0">
      <w:startOverride w:val="1"/>
    </w:lvlOverride>
  </w:num>
  <w:num w:numId="4" w16cid:durableId="205260852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8C6"/>
    <w:rsid w:val="00171BF0"/>
    <w:rsid w:val="006008C6"/>
    <w:rsid w:val="006F5695"/>
    <w:rsid w:val="00D91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B151B"/>
  <w15:docId w15:val="{DEFAC5CB-9693-4EB7-B36D-68625947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312D2A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2501</Words>
  <Characters>14258</Characters>
  <Application>Microsoft Office Word</Application>
  <DocSecurity>0</DocSecurity>
  <Lines>118</Lines>
  <Paragraphs>33</Paragraphs>
  <ScaleCrop>false</ScaleCrop>
  <Company/>
  <LinksUpToDate>false</LinksUpToDate>
  <CharactersWithSpaces>16726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Gopinath Soundarrajan</cp:lastModifiedBy>
  <cp:revision>2</cp:revision>
  <dcterms:created xsi:type="dcterms:W3CDTF">2026-09-29T22:20:00Z</dcterms:created>
  <dcterms:modified xsi:type="dcterms:W3CDTF">2026-09-29T22:20:00Z</dcterms:modified>
</cp:coreProperties>
</file>