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8C559" w14:textId="2685EEB4" w:rsidR="00F854A1" w:rsidRDefault="00000000">
      <w:pPr>
        <w:spacing w:before="60" w:after="60" w:line="264" w:lineRule="auto"/>
      </w:pPr>
      <w:r>
        <w:rPr>
          <w:b/>
          <w:bCs/>
          <w:color w:val="C74634"/>
          <w:sz w:val="20"/>
          <w:szCs w:val="20"/>
        </w:rPr>
        <w:t xml:space="preserve"> — ORACLE CLOUD PROGRAM — IMPLEMENTATION PROCEDURE</w:t>
      </w:r>
    </w:p>
    <w:p w14:paraId="7A47CCDB" w14:textId="77777777" w:rsidR="00F854A1" w:rsidRDefault="00000000">
      <w:pPr>
        <w:pBdr>
          <w:bottom w:val="single" w:sz="12" w:space="6" w:color="1F3864"/>
        </w:pBdr>
        <w:spacing w:before="60" w:after="120"/>
      </w:pPr>
      <w:r>
        <w:rPr>
          <w:b/>
          <w:bCs/>
          <w:color w:val="1F3864"/>
          <w:sz w:val="36"/>
          <w:szCs w:val="36"/>
        </w:rPr>
        <w:t>Microsoft Entra ID Single Sign-On and SCIM Provisioning — Production Fusion Identity Domain</w:t>
      </w:r>
    </w:p>
    <w:p w14:paraId="2F8AF27C" w14:textId="77777777" w:rsidR="00F854A1" w:rsidRDefault="00000000">
      <w:pPr>
        <w:spacing w:before="60" w:after="160" w:line="264" w:lineRule="auto"/>
      </w:pPr>
      <w:r>
        <w:rPr>
          <w:color w:val="595959"/>
          <w:sz w:val="20"/>
          <w:szCs w:val="20"/>
        </w:rPr>
        <w:t>Tenancy tcc1team · Region us-ashburn-1 · Identity domain ERP@fa-icfdjb-msb7c · Fusion pod fa-icfdjb-msb7c</w:t>
      </w:r>
    </w:p>
    <w:p w14:paraId="00853B85" w14:textId="7B233D50" w:rsidR="00F854A1" w:rsidRDefault="00000000">
      <w:pPr>
        <w:spacing w:before="60" w:after="120" w:line="264" w:lineRule="auto"/>
      </w:pPr>
      <w:r>
        <w:rPr>
          <w:color w:val="1A1A1A"/>
        </w:rPr>
        <w:t xml:space="preserve">This procedure federates the production Fusion identity domain with Microsoft Entra ID, so </w:t>
      </w:r>
      <w:proofErr w:type="gramStart"/>
      <w:r>
        <w:rPr>
          <w:color w:val="1A1A1A"/>
        </w:rPr>
        <w:t>that  users</w:t>
      </w:r>
      <w:proofErr w:type="gramEnd"/>
      <w:r>
        <w:rPr>
          <w:color w:val="1A1A1A"/>
        </w:rPr>
        <w:t xml:space="preserve"> authenticate with their Entra credentials, and then </w:t>
      </w:r>
      <w:proofErr w:type="gramStart"/>
      <w:r>
        <w:rPr>
          <w:color w:val="1A1A1A"/>
        </w:rPr>
        <w:t>configures</w:t>
      </w:r>
      <w:proofErr w:type="gramEnd"/>
      <w:r>
        <w:rPr>
          <w:color w:val="1A1A1A"/>
        </w:rPr>
        <w:t xml:space="preserve"> SCIM provisioning so that Entra creates, updates and deactivates those users' accounts in the domain automatically. Both are configured on a single Entra enterprise application. Production goes live on 1 November 2026; this is part of preparing the environment for go-live, so no change window is required. The configuration should be complete and verified before go-live, after which any change to it becomes a production change.</w:t>
      </w:r>
    </w:p>
    <w:p w14:paraId="124900D6" w14:textId="77777777" w:rsidR="00F854A1" w:rsidRDefault="00000000">
      <w:pPr>
        <w:spacing w:before="60" w:after="240" w:line="264" w:lineRule="auto"/>
      </w:pPr>
      <w:r>
        <w:rPr>
          <w:i/>
          <w:iCs/>
          <w:color w:val="595959"/>
          <w:sz w:val="19"/>
          <w:szCs w:val="19"/>
        </w:rPr>
        <w:t xml:space="preserve">Status: DRAFT for </w:t>
      </w:r>
      <w:proofErr w:type="gramStart"/>
      <w:r>
        <w:rPr>
          <w:i/>
          <w:iCs/>
          <w:color w:val="595959"/>
          <w:sz w:val="19"/>
          <w:szCs w:val="19"/>
        </w:rPr>
        <w:t>review  |</w:t>
      </w:r>
      <w:proofErr w:type="gramEnd"/>
      <w:r>
        <w:rPr>
          <w:i/>
          <w:iCs/>
          <w:color w:val="595959"/>
          <w:sz w:val="19"/>
          <w:szCs w:val="19"/>
        </w:rPr>
        <w:t xml:space="preserve">  Prepared by: Enterprise Cloud Architect (</w:t>
      </w:r>
      <w:proofErr w:type="gramStart"/>
      <w:r>
        <w:rPr>
          <w:i/>
          <w:iCs/>
          <w:color w:val="595959"/>
          <w:sz w:val="19"/>
          <w:szCs w:val="19"/>
        </w:rPr>
        <w:t>OCI)  |</w:t>
      </w:r>
      <w:proofErr w:type="gramEnd"/>
      <w:r>
        <w:rPr>
          <w:i/>
          <w:iCs/>
          <w:color w:val="595959"/>
          <w:sz w:val="19"/>
          <w:szCs w:val="19"/>
        </w:rPr>
        <w:t xml:space="preserve">  Version </w:t>
      </w:r>
      <w:proofErr w:type="gramStart"/>
      <w:r>
        <w:rPr>
          <w:i/>
          <w:iCs/>
          <w:color w:val="595959"/>
          <w:sz w:val="19"/>
          <w:szCs w:val="19"/>
        </w:rPr>
        <w:t>1.0  |</w:t>
      </w:r>
      <w:proofErr w:type="gramEnd"/>
      <w:r>
        <w:rPr>
          <w:i/>
          <w:iCs/>
          <w:color w:val="595959"/>
          <w:sz w:val="19"/>
          <w:szCs w:val="19"/>
        </w:rPr>
        <w:t xml:space="preserve">  September </w:t>
      </w:r>
      <w:proofErr w:type="gramStart"/>
      <w:r>
        <w:rPr>
          <w:i/>
          <w:iCs/>
          <w:color w:val="595959"/>
          <w:sz w:val="19"/>
          <w:szCs w:val="19"/>
        </w:rPr>
        <w:t>2026  |</w:t>
      </w:r>
      <w:proofErr w:type="gramEnd"/>
      <w:r>
        <w:rPr>
          <w:i/>
          <w:iCs/>
          <w:color w:val="595959"/>
          <w:sz w:val="19"/>
          <w:szCs w:val="19"/>
        </w:rPr>
        <w:t xml:space="preserve">  Classification: Internal</w:t>
      </w:r>
    </w:p>
    <w:p w14:paraId="15B1C8F8" w14:textId="77777777" w:rsidR="00F854A1" w:rsidRDefault="00000000">
      <w:pPr>
        <w:pStyle w:val="Heading1"/>
        <w:pBdr>
          <w:bottom w:val="single" w:sz="10" w:space="4" w:color="C74634"/>
        </w:pBdr>
        <w:spacing w:before="320" w:after="140"/>
      </w:pPr>
      <w:r>
        <w:rPr>
          <w:b/>
          <w:bCs/>
          <w:color w:val="1F3864"/>
          <w:sz w:val="28"/>
          <w:szCs w:val="28"/>
        </w:rPr>
        <w:t>1. Approach</w:t>
      </w:r>
    </w:p>
    <w:p w14:paraId="60778C0D" w14:textId="77777777" w:rsidR="00F854A1" w:rsidRDefault="00000000">
      <w:pPr>
        <w:spacing w:before="60" w:after="120" w:line="264" w:lineRule="auto"/>
      </w:pPr>
      <w:r>
        <w:rPr>
          <w:color w:val="1A1A1A"/>
        </w:rPr>
        <w:t>Two separate capabilities are configured here, and it is worth keeping them distinct because they fail differently.</w:t>
      </w:r>
    </w:p>
    <w:p w14:paraId="6544A886" w14:textId="77777777" w:rsidR="00F854A1" w:rsidRDefault="00000000">
      <w:pPr>
        <w:pStyle w:val="ListParagraph"/>
        <w:numPr>
          <w:ilvl w:val="0"/>
          <w:numId w:val="2"/>
        </w:numPr>
        <w:spacing w:before="40" w:after="60" w:line="264" w:lineRule="auto"/>
      </w:pPr>
      <w:r>
        <w:rPr>
          <w:b/>
          <w:bCs/>
          <w:color w:val="1A1A1A"/>
        </w:rPr>
        <w:t xml:space="preserve">Single sign-on (SAML federation) </w:t>
      </w:r>
      <w:r>
        <w:rPr>
          <w:color w:val="1A1A1A"/>
        </w:rPr>
        <w:t>decides who authenticates the user. Entra verifies the credential and conditional access, and the identity domain accepts Entra's assertion. It does not create accounts: a user who authenticates at Entra but has no matching account in the domain is refused.</w:t>
      </w:r>
    </w:p>
    <w:p w14:paraId="1601FE17" w14:textId="77777777" w:rsidR="00F854A1" w:rsidRDefault="00000000">
      <w:pPr>
        <w:pStyle w:val="ListParagraph"/>
        <w:numPr>
          <w:ilvl w:val="0"/>
          <w:numId w:val="2"/>
        </w:numPr>
        <w:spacing w:before="40" w:after="60" w:line="264" w:lineRule="auto"/>
      </w:pPr>
      <w:r>
        <w:rPr>
          <w:b/>
          <w:bCs/>
          <w:color w:val="1A1A1A"/>
        </w:rPr>
        <w:t xml:space="preserve">SCIM provisioning </w:t>
      </w:r>
      <w:r>
        <w:rPr>
          <w:color w:val="1A1A1A"/>
        </w:rPr>
        <w:t>decides which accounts exist in the domain. Entra pushes the users and groups assigned to the enterprise application into the domain, keeps their attributes current, and deactivates them when they are unassigned.</w:t>
      </w:r>
    </w:p>
    <w:p w14:paraId="657D70ED" w14:textId="77777777" w:rsidR="00F854A1" w:rsidRDefault="00F854A1">
      <w:pPr>
        <w:spacing w:after="100"/>
      </w:pPr>
    </w:p>
    <w:p w14:paraId="18621342" w14:textId="77777777" w:rsidR="00F854A1" w:rsidRDefault="00000000">
      <w:pPr>
        <w:spacing w:before="60" w:after="120" w:line="264" w:lineRule="auto"/>
      </w:pPr>
      <w:r>
        <w:rPr>
          <w:color w:val="1A1A1A"/>
        </w:rPr>
        <w:t>Both are configured on the same Entra enterprise application. One application means one assignment list: the people who can sign in and the people who are provisioned are, by construction, the same people. Two applications — one for SSO and one for provisioning — would leave two lists to keep in step, and the first time they drift a user is either provisioned and unable to sign in, or able to authenticate at Entra with no account to land in.</w:t>
      </w:r>
    </w:p>
    <w:p w14:paraId="058998AE" w14:textId="77777777" w:rsidR="00F854A1" w:rsidRDefault="00F854A1">
      <w:pPr>
        <w:spacing w:after="100"/>
      </w:pPr>
    </w:p>
    <w:tbl>
      <w:tblPr>
        <w:tblW w:w="10080" w:type="dxa"/>
        <w:tblBorders>
          <w:top w:val="single" w:sz="4" w:space="0" w:color="B9C3D4"/>
          <w:left w:val="single" w:sz="4" w:space="0" w:color="B9C3D4"/>
          <w:bottom w:val="single" w:sz="4" w:space="0" w:color="B9C3D4"/>
          <w:right w:val="single" w:sz="4" w:space="0" w:color="B9C3D4"/>
          <w:insideH w:val="single" w:sz="2" w:space="0" w:color="D5DCE8"/>
          <w:insideV w:val="single" w:sz="2" w:space="0" w:color="D5DCE8"/>
        </w:tblBorders>
        <w:tblCellMar>
          <w:left w:w="10" w:type="dxa"/>
          <w:right w:w="10" w:type="dxa"/>
        </w:tblCellMar>
        <w:tblLook w:val="0000" w:firstRow="0" w:lastRow="0" w:firstColumn="0" w:lastColumn="0" w:noHBand="0" w:noVBand="0"/>
      </w:tblPr>
      <w:tblGrid>
        <w:gridCol w:w="1900"/>
        <w:gridCol w:w="4000"/>
        <w:gridCol w:w="2000"/>
        <w:gridCol w:w="2180"/>
      </w:tblGrid>
      <w:tr w:rsidR="00F854A1" w14:paraId="592AAFA6" w14:textId="77777777">
        <w:tblPrEx>
          <w:tblCellMar>
            <w:top w:w="0" w:type="dxa"/>
            <w:bottom w:w="0" w:type="dxa"/>
          </w:tblCellMar>
        </w:tblPrEx>
        <w:trPr>
          <w:cantSplit/>
          <w:tblHeader/>
        </w:trPr>
        <w:tc>
          <w:tcPr>
            <w:tcW w:w="1900" w:type="dxa"/>
            <w:shd w:val="clear" w:color="auto" w:fill="1F3864"/>
            <w:tcMar>
              <w:top w:w="60" w:type="dxa"/>
              <w:left w:w="100" w:type="dxa"/>
              <w:bottom w:w="60" w:type="dxa"/>
              <w:right w:w="100" w:type="dxa"/>
            </w:tcMar>
          </w:tcPr>
          <w:p w14:paraId="0AB30C8D" w14:textId="77777777" w:rsidR="00F854A1" w:rsidRDefault="00000000">
            <w:pPr>
              <w:spacing w:before="40" w:after="40" w:line="252" w:lineRule="auto"/>
            </w:pPr>
            <w:r>
              <w:rPr>
                <w:b/>
                <w:bCs/>
                <w:color w:val="FFFFFF"/>
                <w:sz w:val="19"/>
                <w:szCs w:val="19"/>
              </w:rPr>
              <w:t>Stage</w:t>
            </w:r>
          </w:p>
        </w:tc>
        <w:tc>
          <w:tcPr>
            <w:tcW w:w="4000" w:type="dxa"/>
            <w:shd w:val="clear" w:color="auto" w:fill="1F3864"/>
            <w:tcMar>
              <w:top w:w="60" w:type="dxa"/>
              <w:left w:w="100" w:type="dxa"/>
              <w:bottom w:w="60" w:type="dxa"/>
              <w:right w:w="100" w:type="dxa"/>
            </w:tcMar>
          </w:tcPr>
          <w:p w14:paraId="11F53FB0" w14:textId="77777777" w:rsidR="00F854A1" w:rsidRDefault="00000000">
            <w:pPr>
              <w:spacing w:before="40" w:after="40" w:line="252" w:lineRule="auto"/>
            </w:pPr>
            <w:r>
              <w:rPr>
                <w:b/>
                <w:bCs/>
                <w:color w:val="FFFFFF"/>
                <w:sz w:val="19"/>
                <w:szCs w:val="19"/>
              </w:rPr>
              <w:t>What happens</w:t>
            </w:r>
          </w:p>
        </w:tc>
        <w:tc>
          <w:tcPr>
            <w:tcW w:w="2000" w:type="dxa"/>
            <w:shd w:val="clear" w:color="auto" w:fill="1F3864"/>
            <w:tcMar>
              <w:top w:w="60" w:type="dxa"/>
              <w:left w:w="100" w:type="dxa"/>
              <w:bottom w:w="60" w:type="dxa"/>
              <w:right w:w="100" w:type="dxa"/>
            </w:tcMar>
          </w:tcPr>
          <w:p w14:paraId="0898FAD6" w14:textId="77777777" w:rsidR="00F854A1" w:rsidRDefault="00000000">
            <w:pPr>
              <w:spacing w:before="40" w:after="40" w:line="252" w:lineRule="auto"/>
            </w:pPr>
            <w:r>
              <w:rPr>
                <w:b/>
                <w:bCs/>
                <w:color w:val="FFFFFF"/>
                <w:sz w:val="19"/>
                <w:szCs w:val="19"/>
              </w:rPr>
              <w:t>Effect</w:t>
            </w:r>
          </w:p>
        </w:tc>
        <w:tc>
          <w:tcPr>
            <w:tcW w:w="2180" w:type="dxa"/>
            <w:shd w:val="clear" w:color="auto" w:fill="1F3864"/>
            <w:tcMar>
              <w:top w:w="60" w:type="dxa"/>
              <w:left w:w="100" w:type="dxa"/>
              <w:bottom w:w="60" w:type="dxa"/>
              <w:right w:w="100" w:type="dxa"/>
            </w:tcMar>
          </w:tcPr>
          <w:p w14:paraId="6FDBAA8C" w14:textId="77777777" w:rsidR="00F854A1" w:rsidRDefault="00000000">
            <w:pPr>
              <w:spacing w:before="40" w:after="40" w:line="252" w:lineRule="auto"/>
            </w:pPr>
            <w:r>
              <w:rPr>
                <w:b/>
                <w:bCs/>
                <w:color w:val="FFFFFF"/>
                <w:sz w:val="19"/>
                <w:szCs w:val="19"/>
              </w:rPr>
              <w:t>Before go-live</w:t>
            </w:r>
          </w:p>
        </w:tc>
      </w:tr>
      <w:tr w:rsidR="00F854A1" w14:paraId="3E23F491" w14:textId="77777777">
        <w:tblPrEx>
          <w:tblCellMar>
            <w:top w:w="0" w:type="dxa"/>
            <w:bottom w:w="0" w:type="dxa"/>
          </w:tblCellMar>
        </w:tblPrEx>
        <w:trPr>
          <w:cantSplit/>
        </w:trPr>
        <w:tc>
          <w:tcPr>
            <w:tcW w:w="1900" w:type="dxa"/>
            <w:shd w:val="clear" w:color="auto" w:fill="FFFFFF"/>
            <w:tcMar>
              <w:top w:w="60" w:type="dxa"/>
              <w:left w:w="100" w:type="dxa"/>
              <w:bottom w:w="60" w:type="dxa"/>
              <w:right w:w="100" w:type="dxa"/>
            </w:tcMar>
          </w:tcPr>
          <w:p w14:paraId="55A157A2" w14:textId="77777777" w:rsidR="00F854A1" w:rsidRDefault="00000000">
            <w:pPr>
              <w:spacing w:before="40" w:after="40" w:line="252" w:lineRule="auto"/>
            </w:pPr>
            <w:r>
              <w:rPr>
                <w:b/>
                <w:bCs/>
                <w:color w:val="1A1A1A"/>
                <w:sz w:val="19"/>
                <w:szCs w:val="19"/>
              </w:rPr>
              <w:t>Part A, Steps A1–A5</w:t>
            </w:r>
          </w:p>
        </w:tc>
        <w:tc>
          <w:tcPr>
            <w:tcW w:w="4000" w:type="dxa"/>
            <w:shd w:val="clear" w:color="auto" w:fill="FFFFFF"/>
            <w:tcMar>
              <w:top w:w="60" w:type="dxa"/>
              <w:left w:w="100" w:type="dxa"/>
              <w:bottom w:w="60" w:type="dxa"/>
              <w:right w:w="100" w:type="dxa"/>
            </w:tcMar>
          </w:tcPr>
          <w:p w14:paraId="29ABC402" w14:textId="77777777" w:rsidR="00F854A1" w:rsidRDefault="00000000">
            <w:pPr>
              <w:spacing w:before="40" w:after="40" w:line="252" w:lineRule="auto"/>
            </w:pPr>
            <w:r>
              <w:rPr>
                <w:color w:val="1A1A1A"/>
                <w:sz w:val="19"/>
                <w:szCs w:val="19"/>
              </w:rPr>
              <w:t>Entra application built; Entra registered and activated as an identity provider in the domain</w:t>
            </w:r>
          </w:p>
        </w:tc>
        <w:tc>
          <w:tcPr>
            <w:tcW w:w="2000" w:type="dxa"/>
            <w:shd w:val="clear" w:color="auto" w:fill="FFFFFF"/>
            <w:tcMar>
              <w:top w:w="60" w:type="dxa"/>
              <w:left w:w="100" w:type="dxa"/>
              <w:bottom w:w="60" w:type="dxa"/>
              <w:right w:w="100" w:type="dxa"/>
            </w:tcMar>
          </w:tcPr>
          <w:p w14:paraId="3D8B589E" w14:textId="77777777" w:rsidR="00F854A1" w:rsidRDefault="00000000">
            <w:pPr>
              <w:spacing w:before="40" w:after="40" w:line="252" w:lineRule="auto"/>
            </w:pPr>
            <w:r>
              <w:rPr>
                <w:color w:val="1A1A1A"/>
                <w:sz w:val="19"/>
                <w:szCs w:val="19"/>
              </w:rPr>
              <w:t>Entra available to the domain but not offered at sign-in</w:t>
            </w:r>
          </w:p>
        </w:tc>
        <w:tc>
          <w:tcPr>
            <w:tcW w:w="2180" w:type="dxa"/>
            <w:shd w:val="clear" w:color="auto" w:fill="FFFFFF"/>
            <w:tcMar>
              <w:top w:w="60" w:type="dxa"/>
              <w:left w:w="100" w:type="dxa"/>
              <w:bottom w:w="60" w:type="dxa"/>
              <w:right w:w="100" w:type="dxa"/>
            </w:tcMar>
          </w:tcPr>
          <w:p w14:paraId="25D381B6" w14:textId="77777777" w:rsidR="00F854A1" w:rsidRDefault="00000000">
            <w:pPr>
              <w:spacing w:before="40" w:after="40" w:line="252" w:lineRule="auto"/>
            </w:pPr>
            <w:r>
              <w:rPr>
                <w:color w:val="1A1A1A"/>
                <w:sz w:val="19"/>
                <w:szCs w:val="19"/>
              </w:rPr>
              <w:t>Build</w:t>
            </w:r>
          </w:p>
        </w:tc>
      </w:tr>
      <w:tr w:rsidR="00F854A1" w14:paraId="4939CA4D" w14:textId="77777777">
        <w:tblPrEx>
          <w:tblCellMar>
            <w:top w:w="0" w:type="dxa"/>
            <w:bottom w:w="0" w:type="dxa"/>
          </w:tblCellMar>
        </w:tblPrEx>
        <w:trPr>
          <w:cantSplit/>
        </w:trPr>
        <w:tc>
          <w:tcPr>
            <w:tcW w:w="1900" w:type="dxa"/>
            <w:shd w:val="clear" w:color="auto" w:fill="F2F5F9"/>
            <w:tcMar>
              <w:top w:w="60" w:type="dxa"/>
              <w:left w:w="100" w:type="dxa"/>
              <w:bottom w:w="60" w:type="dxa"/>
              <w:right w:w="100" w:type="dxa"/>
            </w:tcMar>
          </w:tcPr>
          <w:p w14:paraId="046A232A" w14:textId="77777777" w:rsidR="00F854A1" w:rsidRDefault="00000000">
            <w:pPr>
              <w:spacing w:before="40" w:after="40" w:line="252" w:lineRule="auto"/>
            </w:pPr>
            <w:r>
              <w:rPr>
                <w:b/>
                <w:bCs/>
                <w:color w:val="1A1A1A"/>
                <w:sz w:val="19"/>
                <w:szCs w:val="19"/>
              </w:rPr>
              <w:t>Part A, Step A6</w:t>
            </w:r>
          </w:p>
        </w:tc>
        <w:tc>
          <w:tcPr>
            <w:tcW w:w="4000" w:type="dxa"/>
            <w:shd w:val="clear" w:color="auto" w:fill="F2F5F9"/>
            <w:tcMar>
              <w:top w:w="60" w:type="dxa"/>
              <w:left w:w="100" w:type="dxa"/>
              <w:bottom w:w="60" w:type="dxa"/>
              <w:right w:w="100" w:type="dxa"/>
            </w:tcMar>
          </w:tcPr>
          <w:p w14:paraId="76D3B67B" w14:textId="77777777" w:rsidR="00F854A1" w:rsidRDefault="00000000">
            <w:pPr>
              <w:spacing w:before="40" w:after="40" w:line="252" w:lineRule="auto"/>
            </w:pPr>
            <w:r>
              <w:rPr>
                <w:color w:val="1A1A1A"/>
                <w:sz w:val="19"/>
                <w:szCs w:val="19"/>
              </w:rPr>
              <w:t>Entra added to the domain's identity provider policy</w:t>
            </w:r>
          </w:p>
        </w:tc>
        <w:tc>
          <w:tcPr>
            <w:tcW w:w="2000" w:type="dxa"/>
            <w:shd w:val="clear" w:color="auto" w:fill="F2F5F9"/>
            <w:tcMar>
              <w:top w:w="60" w:type="dxa"/>
              <w:left w:w="100" w:type="dxa"/>
              <w:bottom w:w="60" w:type="dxa"/>
              <w:right w:w="100" w:type="dxa"/>
            </w:tcMar>
          </w:tcPr>
          <w:p w14:paraId="330C7DAD" w14:textId="77777777" w:rsidR="00F854A1" w:rsidRDefault="00000000">
            <w:pPr>
              <w:spacing w:before="40" w:after="40" w:line="252" w:lineRule="auto"/>
            </w:pPr>
            <w:r>
              <w:rPr>
                <w:color w:val="1A1A1A"/>
                <w:sz w:val="19"/>
                <w:szCs w:val="19"/>
              </w:rPr>
              <w:t>The production sign-in page offers Entra</w:t>
            </w:r>
          </w:p>
        </w:tc>
        <w:tc>
          <w:tcPr>
            <w:tcW w:w="2180" w:type="dxa"/>
            <w:shd w:val="clear" w:color="auto" w:fill="F2F5F9"/>
            <w:tcMar>
              <w:top w:w="60" w:type="dxa"/>
              <w:left w:w="100" w:type="dxa"/>
              <w:bottom w:w="60" w:type="dxa"/>
              <w:right w:w="100" w:type="dxa"/>
            </w:tcMar>
          </w:tcPr>
          <w:p w14:paraId="013E2C65" w14:textId="77777777" w:rsidR="00F854A1" w:rsidRDefault="00000000">
            <w:pPr>
              <w:spacing w:before="40" w:after="40" w:line="252" w:lineRule="auto"/>
            </w:pPr>
            <w:r>
              <w:rPr>
                <w:color w:val="1A1A1A"/>
                <w:sz w:val="19"/>
                <w:szCs w:val="19"/>
              </w:rPr>
              <w:t>Build</w:t>
            </w:r>
          </w:p>
        </w:tc>
      </w:tr>
      <w:tr w:rsidR="00F854A1" w14:paraId="291F98A9" w14:textId="77777777">
        <w:tblPrEx>
          <w:tblCellMar>
            <w:top w:w="0" w:type="dxa"/>
            <w:bottom w:w="0" w:type="dxa"/>
          </w:tblCellMar>
        </w:tblPrEx>
        <w:trPr>
          <w:cantSplit/>
        </w:trPr>
        <w:tc>
          <w:tcPr>
            <w:tcW w:w="1900" w:type="dxa"/>
            <w:shd w:val="clear" w:color="auto" w:fill="FFFFFF"/>
            <w:tcMar>
              <w:top w:w="60" w:type="dxa"/>
              <w:left w:w="100" w:type="dxa"/>
              <w:bottom w:w="60" w:type="dxa"/>
              <w:right w:w="100" w:type="dxa"/>
            </w:tcMar>
          </w:tcPr>
          <w:p w14:paraId="4912BAE0" w14:textId="77777777" w:rsidR="00F854A1" w:rsidRDefault="00000000">
            <w:pPr>
              <w:spacing w:before="40" w:after="40" w:line="252" w:lineRule="auto"/>
            </w:pPr>
            <w:r>
              <w:rPr>
                <w:b/>
                <w:bCs/>
                <w:color w:val="1A1A1A"/>
                <w:sz w:val="19"/>
                <w:szCs w:val="19"/>
              </w:rPr>
              <w:t>Part B, Steps B1–B4</w:t>
            </w:r>
          </w:p>
        </w:tc>
        <w:tc>
          <w:tcPr>
            <w:tcW w:w="4000" w:type="dxa"/>
            <w:shd w:val="clear" w:color="auto" w:fill="FFFFFF"/>
            <w:tcMar>
              <w:top w:w="60" w:type="dxa"/>
              <w:left w:w="100" w:type="dxa"/>
              <w:bottom w:w="60" w:type="dxa"/>
              <w:right w:w="100" w:type="dxa"/>
            </w:tcMar>
          </w:tcPr>
          <w:p w14:paraId="6E97EC94" w14:textId="77777777" w:rsidR="00F854A1" w:rsidRDefault="00000000">
            <w:pPr>
              <w:spacing w:before="40" w:after="40" w:line="252" w:lineRule="auto"/>
            </w:pPr>
            <w:r>
              <w:rPr>
                <w:color w:val="1A1A1A"/>
                <w:sz w:val="19"/>
                <w:szCs w:val="19"/>
              </w:rPr>
              <w:t>Confidential application, provisioning connection and attribute mappings configured; provisioning not started</w:t>
            </w:r>
          </w:p>
        </w:tc>
        <w:tc>
          <w:tcPr>
            <w:tcW w:w="2000" w:type="dxa"/>
            <w:shd w:val="clear" w:color="auto" w:fill="FFFFFF"/>
            <w:tcMar>
              <w:top w:w="60" w:type="dxa"/>
              <w:left w:w="100" w:type="dxa"/>
              <w:bottom w:w="60" w:type="dxa"/>
              <w:right w:w="100" w:type="dxa"/>
            </w:tcMar>
          </w:tcPr>
          <w:p w14:paraId="555BD55D" w14:textId="77777777" w:rsidR="00F854A1" w:rsidRDefault="00000000">
            <w:pPr>
              <w:spacing w:before="40" w:after="40" w:line="252" w:lineRule="auto"/>
            </w:pPr>
            <w:r>
              <w:rPr>
                <w:color w:val="1A1A1A"/>
                <w:sz w:val="19"/>
                <w:szCs w:val="19"/>
              </w:rPr>
              <w:t>No accounts written</w:t>
            </w:r>
          </w:p>
        </w:tc>
        <w:tc>
          <w:tcPr>
            <w:tcW w:w="2180" w:type="dxa"/>
            <w:shd w:val="clear" w:color="auto" w:fill="FFFFFF"/>
            <w:tcMar>
              <w:top w:w="60" w:type="dxa"/>
              <w:left w:w="100" w:type="dxa"/>
              <w:bottom w:w="60" w:type="dxa"/>
              <w:right w:w="100" w:type="dxa"/>
            </w:tcMar>
          </w:tcPr>
          <w:p w14:paraId="3F152455" w14:textId="77777777" w:rsidR="00F854A1" w:rsidRDefault="00000000">
            <w:pPr>
              <w:spacing w:before="40" w:after="40" w:line="252" w:lineRule="auto"/>
            </w:pPr>
            <w:r>
              <w:rPr>
                <w:color w:val="1A1A1A"/>
                <w:sz w:val="19"/>
                <w:szCs w:val="19"/>
              </w:rPr>
              <w:t>Build</w:t>
            </w:r>
          </w:p>
        </w:tc>
      </w:tr>
      <w:tr w:rsidR="00F854A1" w14:paraId="49D724E5" w14:textId="77777777">
        <w:tblPrEx>
          <w:tblCellMar>
            <w:top w:w="0" w:type="dxa"/>
            <w:bottom w:w="0" w:type="dxa"/>
          </w:tblCellMar>
        </w:tblPrEx>
        <w:trPr>
          <w:cantSplit/>
        </w:trPr>
        <w:tc>
          <w:tcPr>
            <w:tcW w:w="1900" w:type="dxa"/>
            <w:shd w:val="clear" w:color="auto" w:fill="F2F5F9"/>
            <w:tcMar>
              <w:top w:w="60" w:type="dxa"/>
              <w:left w:w="100" w:type="dxa"/>
              <w:bottom w:w="60" w:type="dxa"/>
              <w:right w:w="100" w:type="dxa"/>
            </w:tcMar>
          </w:tcPr>
          <w:p w14:paraId="3C3065AF" w14:textId="77777777" w:rsidR="00F854A1" w:rsidRDefault="00000000">
            <w:pPr>
              <w:spacing w:before="40" w:after="40" w:line="252" w:lineRule="auto"/>
            </w:pPr>
            <w:r>
              <w:rPr>
                <w:b/>
                <w:bCs/>
                <w:color w:val="1A1A1A"/>
                <w:sz w:val="19"/>
                <w:szCs w:val="19"/>
              </w:rPr>
              <w:t>Part B, Steps B5–B6</w:t>
            </w:r>
          </w:p>
        </w:tc>
        <w:tc>
          <w:tcPr>
            <w:tcW w:w="4000" w:type="dxa"/>
            <w:shd w:val="clear" w:color="auto" w:fill="F2F5F9"/>
            <w:tcMar>
              <w:top w:w="60" w:type="dxa"/>
              <w:left w:w="100" w:type="dxa"/>
              <w:bottom w:w="60" w:type="dxa"/>
              <w:right w:w="100" w:type="dxa"/>
            </w:tcMar>
          </w:tcPr>
          <w:p w14:paraId="27B9BFB2" w14:textId="77777777" w:rsidR="00F854A1" w:rsidRDefault="00000000">
            <w:pPr>
              <w:spacing w:before="40" w:after="40" w:line="252" w:lineRule="auto"/>
            </w:pPr>
            <w:r>
              <w:rPr>
                <w:color w:val="1A1A1A"/>
                <w:sz w:val="19"/>
                <w:szCs w:val="19"/>
              </w:rPr>
              <w:t>First provisioning cycle writes accounts into the production domain</w:t>
            </w:r>
          </w:p>
        </w:tc>
        <w:tc>
          <w:tcPr>
            <w:tcW w:w="2000" w:type="dxa"/>
            <w:shd w:val="clear" w:color="auto" w:fill="F2F5F9"/>
            <w:tcMar>
              <w:top w:w="60" w:type="dxa"/>
              <w:left w:w="100" w:type="dxa"/>
              <w:bottom w:w="60" w:type="dxa"/>
              <w:right w:w="100" w:type="dxa"/>
            </w:tcMar>
          </w:tcPr>
          <w:p w14:paraId="1BFBD054" w14:textId="77777777" w:rsidR="00F854A1" w:rsidRDefault="00000000">
            <w:pPr>
              <w:spacing w:before="40" w:after="40" w:line="252" w:lineRule="auto"/>
            </w:pPr>
            <w:r>
              <w:rPr>
                <w:color w:val="1A1A1A"/>
                <w:sz w:val="19"/>
                <w:szCs w:val="19"/>
              </w:rPr>
              <w:t>Initial population load of the go-live user base, federated status set</w:t>
            </w:r>
          </w:p>
        </w:tc>
        <w:tc>
          <w:tcPr>
            <w:tcW w:w="2180" w:type="dxa"/>
            <w:shd w:val="clear" w:color="auto" w:fill="F2F5F9"/>
            <w:tcMar>
              <w:top w:w="60" w:type="dxa"/>
              <w:left w:w="100" w:type="dxa"/>
              <w:bottom w:w="60" w:type="dxa"/>
              <w:right w:w="100" w:type="dxa"/>
            </w:tcMar>
          </w:tcPr>
          <w:p w14:paraId="2673F6FE" w14:textId="77777777" w:rsidR="00F854A1" w:rsidRDefault="00000000">
            <w:pPr>
              <w:spacing w:before="40" w:after="40" w:line="252" w:lineRule="auto"/>
            </w:pPr>
            <w:r>
              <w:rPr>
                <w:color w:val="1A1A1A"/>
                <w:sz w:val="19"/>
                <w:szCs w:val="19"/>
              </w:rPr>
              <w:t>Build and verify</w:t>
            </w:r>
          </w:p>
        </w:tc>
      </w:tr>
    </w:tbl>
    <w:p w14:paraId="5DAF4EFD" w14:textId="77777777" w:rsidR="00F854A1" w:rsidRDefault="00000000">
      <w:pPr>
        <w:pStyle w:val="Heading1"/>
        <w:pBdr>
          <w:bottom w:val="single" w:sz="10" w:space="4" w:color="C74634"/>
        </w:pBdr>
        <w:spacing w:before="320" w:after="140"/>
      </w:pPr>
      <w:r>
        <w:rPr>
          <w:b/>
          <w:bCs/>
          <w:color w:val="1F3864"/>
          <w:sz w:val="28"/>
          <w:szCs w:val="28"/>
        </w:rPr>
        <w:lastRenderedPageBreak/>
        <w:t>2. The production domain today</w:t>
      </w:r>
    </w:p>
    <w:p w14:paraId="29762C09" w14:textId="77777777" w:rsidR="00F854A1" w:rsidRDefault="00000000">
      <w:pPr>
        <w:spacing w:before="60" w:after="120" w:line="264" w:lineRule="auto"/>
      </w:pPr>
      <w:r>
        <w:rPr>
          <w:color w:val="1A1A1A"/>
        </w:rPr>
        <w:t>The production Fusion identity domain is small and quite unlike the non-production domains. It holds eight accounts and seven groups.</w:t>
      </w:r>
    </w:p>
    <w:p w14:paraId="35840CDE" w14:textId="77777777" w:rsidR="00F854A1" w:rsidRDefault="00F854A1">
      <w:pPr>
        <w:spacing w:after="100"/>
      </w:pPr>
    </w:p>
    <w:tbl>
      <w:tblPr>
        <w:tblW w:w="10080" w:type="dxa"/>
        <w:tblBorders>
          <w:top w:val="single" w:sz="4" w:space="0" w:color="B9C3D4"/>
          <w:left w:val="single" w:sz="4" w:space="0" w:color="B9C3D4"/>
          <w:bottom w:val="single" w:sz="4" w:space="0" w:color="B9C3D4"/>
          <w:right w:val="single" w:sz="4" w:space="0" w:color="B9C3D4"/>
          <w:insideH w:val="single" w:sz="2" w:space="0" w:color="D5DCE8"/>
          <w:insideV w:val="single" w:sz="2" w:space="0" w:color="D5DCE8"/>
        </w:tblBorders>
        <w:tblCellMar>
          <w:left w:w="10" w:type="dxa"/>
          <w:right w:w="10" w:type="dxa"/>
        </w:tblCellMar>
        <w:tblLook w:val="0000" w:firstRow="0" w:lastRow="0" w:firstColumn="0" w:lastColumn="0" w:noHBand="0" w:noVBand="0"/>
      </w:tblPr>
      <w:tblGrid>
        <w:gridCol w:w="2800"/>
        <w:gridCol w:w="2300"/>
        <w:gridCol w:w="4980"/>
      </w:tblGrid>
      <w:tr w:rsidR="00F854A1" w14:paraId="3C9290ED" w14:textId="77777777">
        <w:tblPrEx>
          <w:tblCellMar>
            <w:top w:w="0" w:type="dxa"/>
            <w:bottom w:w="0" w:type="dxa"/>
          </w:tblCellMar>
        </w:tblPrEx>
        <w:trPr>
          <w:cantSplit/>
          <w:tblHeader/>
        </w:trPr>
        <w:tc>
          <w:tcPr>
            <w:tcW w:w="2800" w:type="dxa"/>
            <w:shd w:val="clear" w:color="auto" w:fill="1F3864"/>
            <w:tcMar>
              <w:top w:w="60" w:type="dxa"/>
              <w:left w:w="100" w:type="dxa"/>
              <w:bottom w:w="60" w:type="dxa"/>
              <w:right w:w="100" w:type="dxa"/>
            </w:tcMar>
          </w:tcPr>
          <w:p w14:paraId="25EE71F3" w14:textId="77777777" w:rsidR="00F854A1" w:rsidRDefault="00000000">
            <w:pPr>
              <w:spacing w:before="40" w:after="40" w:line="252" w:lineRule="auto"/>
            </w:pPr>
            <w:r>
              <w:rPr>
                <w:b/>
                <w:bCs/>
                <w:color w:val="FFFFFF"/>
                <w:sz w:val="19"/>
                <w:szCs w:val="19"/>
              </w:rPr>
              <w:t>Account</w:t>
            </w:r>
          </w:p>
        </w:tc>
        <w:tc>
          <w:tcPr>
            <w:tcW w:w="2300" w:type="dxa"/>
            <w:shd w:val="clear" w:color="auto" w:fill="1F3864"/>
            <w:tcMar>
              <w:top w:w="60" w:type="dxa"/>
              <w:left w:w="100" w:type="dxa"/>
              <w:bottom w:w="60" w:type="dxa"/>
              <w:right w:w="100" w:type="dxa"/>
            </w:tcMar>
          </w:tcPr>
          <w:p w14:paraId="47962DD3" w14:textId="77777777" w:rsidR="00F854A1" w:rsidRDefault="00000000">
            <w:pPr>
              <w:spacing w:before="40" w:after="40" w:line="252" w:lineRule="auto"/>
            </w:pPr>
            <w:r>
              <w:rPr>
                <w:b/>
                <w:bCs/>
                <w:color w:val="FFFFFF"/>
                <w:sz w:val="19"/>
                <w:szCs w:val="19"/>
              </w:rPr>
              <w:t>Type</w:t>
            </w:r>
          </w:p>
        </w:tc>
        <w:tc>
          <w:tcPr>
            <w:tcW w:w="4980" w:type="dxa"/>
            <w:shd w:val="clear" w:color="auto" w:fill="1F3864"/>
            <w:tcMar>
              <w:top w:w="60" w:type="dxa"/>
              <w:left w:w="100" w:type="dxa"/>
              <w:bottom w:w="60" w:type="dxa"/>
              <w:right w:w="100" w:type="dxa"/>
            </w:tcMar>
          </w:tcPr>
          <w:p w14:paraId="6768DA7B" w14:textId="77777777" w:rsidR="00F854A1" w:rsidRDefault="00000000">
            <w:pPr>
              <w:spacing w:before="40" w:after="40" w:line="252" w:lineRule="auto"/>
            </w:pPr>
            <w:r>
              <w:rPr>
                <w:b/>
                <w:bCs/>
                <w:color w:val="FFFFFF"/>
                <w:sz w:val="19"/>
                <w:szCs w:val="19"/>
              </w:rPr>
              <w:t>Effect of this procedure</w:t>
            </w:r>
          </w:p>
        </w:tc>
      </w:tr>
    </w:tbl>
    <w:p w14:paraId="674A03FB" w14:textId="77777777" w:rsidR="00F854A1" w:rsidRDefault="00F854A1">
      <w:pPr>
        <w:spacing w:after="100"/>
      </w:pPr>
    </w:p>
    <w:p w14:paraId="1D87A5A1" w14:textId="77777777" w:rsidR="00F854A1" w:rsidRDefault="00000000">
      <w:pPr>
        <w:spacing w:before="60" w:after="120" w:line="264" w:lineRule="auto"/>
      </w:pPr>
      <w:r>
        <w:rPr>
          <w:color w:val="1A1A1A"/>
        </w:rPr>
        <w:t xml:space="preserve">The six service and administrative accounts are members of the domain groups </w:t>
      </w:r>
      <w:proofErr w:type="spellStart"/>
      <w:r>
        <w:rPr>
          <w:color w:val="1A1A1A"/>
        </w:rPr>
        <w:t>System_Users</w:t>
      </w:r>
      <w:proofErr w:type="spellEnd"/>
      <w:r>
        <w:rPr>
          <w:color w:val="1A1A1A"/>
        </w:rPr>
        <w:t xml:space="preserve">, Monitors, Operators, PSCR Submitter Group and </w:t>
      </w:r>
      <w:proofErr w:type="spellStart"/>
      <w:r>
        <w:rPr>
          <w:color w:val="1A1A1A"/>
        </w:rPr>
        <w:t>RATS_Monitoring</w:t>
      </w:r>
      <w:proofErr w:type="spellEnd"/>
      <w:r>
        <w:rPr>
          <w:color w:val="1A1A1A"/>
        </w:rPr>
        <w:t>. SCIM provisioning only touches accounts and groups that Entra is told to manage, so none of these is changed by this procedure provided no Entra group of the same name is assigned to the application.</w:t>
      </w:r>
    </w:p>
    <w:p w14:paraId="77E9C51C" w14:textId="77777777" w:rsidR="00F854A1" w:rsidRDefault="00F854A1">
      <w:pPr>
        <w:spacing w:after="100"/>
      </w:pPr>
    </w:p>
    <w:tbl>
      <w:tblPr>
        <w:tblW w:w="10080" w:type="dxa"/>
        <w:tblBorders>
          <w:top w:val="single" w:sz="2" w:space="0" w:color="E3C9C3"/>
          <w:left w:val="single" w:sz="18" w:space="0" w:color="C74634"/>
          <w:bottom w:val="single" w:sz="2" w:space="0" w:color="E3C9C3"/>
          <w:right w:val="single" w:sz="2" w:space="0" w:color="E3C9C3"/>
        </w:tblBorders>
        <w:tblCellMar>
          <w:left w:w="10" w:type="dxa"/>
          <w:right w:w="10" w:type="dxa"/>
        </w:tblCellMar>
        <w:tblLook w:val="0000" w:firstRow="0" w:lastRow="0" w:firstColumn="0" w:lastColumn="0" w:noHBand="0" w:noVBand="0"/>
      </w:tblPr>
      <w:tblGrid>
        <w:gridCol w:w="10080"/>
      </w:tblGrid>
      <w:tr w:rsidR="00F854A1" w14:paraId="41CCACD5" w14:textId="77777777">
        <w:tblPrEx>
          <w:tblCellMar>
            <w:top w:w="0" w:type="dxa"/>
            <w:bottom w:w="0" w:type="dxa"/>
          </w:tblCellMar>
        </w:tblPrEx>
        <w:tc>
          <w:tcPr>
            <w:tcW w:w="10080" w:type="dxa"/>
            <w:shd w:val="clear" w:color="auto" w:fill="FBF4F2"/>
            <w:tcMar>
              <w:top w:w="100" w:type="dxa"/>
              <w:left w:w="160" w:type="dxa"/>
              <w:bottom w:w="100" w:type="dxa"/>
              <w:right w:w="160" w:type="dxa"/>
            </w:tcMar>
          </w:tcPr>
          <w:p w14:paraId="5E3BC924" w14:textId="77777777" w:rsidR="00F854A1" w:rsidRDefault="00000000">
            <w:pPr>
              <w:spacing w:after="40"/>
            </w:pPr>
            <w:r>
              <w:rPr>
                <w:b/>
                <w:bCs/>
                <w:color w:val="C74634"/>
                <w:sz w:val="18"/>
                <w:szCs w:val="18"/>
              </w:rPr>
              <w:t>Check before choosing the identity mapping</w:t>
            </w:r>
          </w:p>
          <w:p w14:paraId="36A06197" w14:textId="77777777" w:rsidR="00F854A1" w:rsidRDefault="00000000">
            <w:pPr>
              <w:spacing w:line="264" w:lineRule="auto"/>
            </w:pPr>
            <w:r>
              <w:rPr>
                <w:color w:val="1A1A1A"/>
                <w:sz w:val="20"/>
                <w:szCs w:val="20"/>
              </w:rPr>
              <w:t xml:space="preserve">The tenancy inventory carries no primary email address for any account in any Fusion identity domain, production included. That may be a limitation of the </w:t>
            </w:r>
            <w:proofErr w:type="gramStart"/>
            <w:r>
              <w:rPr>
                <w:color w:val="1A1A1A"/>
                <w:sz w:val="20"/>
                <w:szCs w:val="20"/>
              </w:rPr>
              <w:t>export</w:t>
            </w:r>
            <w:proofErr w:type="gramEnd"/>
            <w:r>
              <w:rPr>
                <w:color w:val="1A1A1A"/>
                <w:sz w:val="20"/>
                <w:szCs w:val="20"/>
              </w:rPr>
              <w:t xml:space="preserve"> rather than the true state of the accounts, but it </w:t>
            </w:r>
            <w:proofErr w:type="gramStart"/>
            <w:r>
              <w:rPr>
                <w:color w:val="1A1A1A"/>
                <w:sz w:val="20"/>
                <w:szCs w:val="20"/>
              </w:rPr>
              <w:t>has to</w:t>
            </w:r>
            <w:proofErr w:type="gramEnd"/>
            <w:r>
              <w:rPr>
                <w:color w:val="1A1A1A"/>
                <w:sz w:val="20"/>
                <w:szCs w:val="20"/>
              </w:rPr>
              <w:t xml:space="preserve"> be checked in the console before Step A4, because the choice of how Entra and the domain match a user depends on it. See Section 4.</w:t>
            </w:r>
          </w:p>
        </w:tc>
      </w:tr>
    </w:tbl>
    <w:p w14:paraId="640F2C16" w14:textId="77777777" w:rsidR="00F854A1" w:rsidRDefault="00000000">
      <w:pPr>
        <w:pStyle w:val="Heading1"/>
        <w:pBdr>
          <w:bottom w:val="single" w:sz="10" w:space="4" w:color="C74634"/>
        </w:pBdr>
        <w:spacing w:before="320" w:after="140"/>
      </w:pPr>
      <w:r>
        <w:rPr>
          <w:b/>
          <w:bCs/>
          <w:color w:val="1F3864"/>
          <w:sz w:val="28"/>
          <w:szCs w:val="28"/>
        </w:rPr>
        <w:t>3. Prerequisites</w:t>
      </w:r>
    </w:p>
    <w:p w14:paraId="351B377D" w14:textId="77777777" w:rsidR="00F854A1" w:rsidRDefault="00000000">
      <w:pPr>
        <w:pStyle w:val="ListParagraph"/>
        <w:numPr>
          <w:ilvl w:val="0"/>
          <w:numId w:val="3"/>
        </w:numPr>
        <w:spacing w:before="40" w:after="60" w:line="264" w:lineRule="auto"/>
      </w:pPr>
      <w:r>
        <w:rPr>
          <w:color w:val="1A1A1A"/>
        </w:rPr>
        <w:t>OCI side: the change is carried out by the tenancy administrator, a member of the Default domain Administrators group, who holds full administrative rights over ERP@fa-icfdjb-msb7c. No further role grants are required.</w:t>
      </w:r>
    </w:p>
    <w:p w14:paraId="702C74AC" w14:textId="166F5C2E" w:rsidR="00F854A1" w:rsidRDefault="00000000">
      <w:pPr>
        <w:pStyle w:val="ListParagraph"/>
        <w:numPr>
          <w:ilvl w:val="0"/>
          <w:numId w:val="3"/>
        </w:numPr>
        <w:spacing w:before="40" w:after="60" w:line="264" w:lineRule="auto"/>
      </w:pPr>
      <w:r>
        <w:rPr>
          <w:color w:val="1A1A1A"/>
        </w:rPr>
        <w:t>Entra side: an administrator holding the Global Administrator, Cloud Application Administrator or Application Administrator role in 's Entra tenant, available for the whole of Part A and Part B.</w:t>
      </w:r>
    </w:p>
    <w:p w14:paraId="7484E883" w14:textId="77777777" w:rsidR="00F854A1" w:rsidRDefault="00000000">
      <w:pPr>
        <w:pStyle w:val="ListParagraph"/>
        <w:numPr>
          <w:ilvl w:val="0"/>
          <w:numId w:val="3"/>
        </w:numPr>
        <w:spacing w:before="40" w:after="60" w:line="264" w:lineRule="auto"/>
      </w:pPr>
      <w:r>
        <w:rPr>
          <w:color w:val="1A1A1A"/>
        </w:rPr>
        <w:t>The Entra security groups whose members should have production access identified, with their approvers. Only these groups will be assigned to the application.</w:t>
      </w:r>
    </w:p>
    <w:p w14:paraId="29D8D783" w14:textId="49301C50" w:rsidR="00F854A1" w:rsidRDefault="00000000">
      <w:pPr>
        <w:pStyle w:val="ListParagraph"/>
        <w:numPr>
          <w:ilvl w:val="0"/>
          <w:numId w:val="3"/>
        </w:numPr>
        <w:spacing w:before="40" w:after="60" w:line="264" w:lineRule="auto"/>
      </w:pPr>
      <w:r>
        <w:rPr>
          <w:color w:val="1A1A1A"/>
        </w:rPr>
        <w:t xml:space="preserve">A named pilot user who exists in Entra and should have production access — the </w:t>
      </w:r>
      <w:proofErr w:type="gramStart"/>
      <w:r>
        <w:rPr>
          <w:color w:val="1A1A1A"/>
        </w:rPr>
        <w:t>existing  account</w:t>
      </w:r>
      <w:proofErr w:type="gramEnd"/>
      <w:r>
        <w:rPr>
          <w:color w:val="1A1A1A"/>
        </w:rPr>
        <w:t xml:space="preserve"> in the domain is the natural candidate.</w:t>
      </w:r>
    </w:p>
    <w:p w14:paraId="7ED0820B" w14:textId="77777777" w:rsidR="00F854A1" w:rsidRDefault="00000000">
      <w:pPr>
        <w:pStyle w:val="ListParagraph"/>
        <w:numPr>
          <w:ilvl w:val="0"/>
          <w:numId w:val="3"/>
        </w:numPr>
        <w:spacing w:before="40" w:after="60" w:line="264" w:lineRule="auto"/>
      </w:pPr>
      <w:r>
        <w:rPr>
          <w:color w:val="1A1A1A"/>
        </w:rPr>
        <w:t>The production Fusion URL recorded, for use as the application's sign-on URL in Step A3.</w:t>
      </w:r>
    </w:p>
    <w:p w14:paraId="2019EED0" w14:textId="77777777" w:rsidR="00F854A1" w:rsidRDefault="00000000">
      <w:pPr>
        <w:pStyle w:val="ListParagraph"/>
        <w:numPr>
          <w:ilvl w:val="0"/>
          <w:numId w:val="3"/>
        </w:numPr>
        <w:spacing w:before="40" w:after="60" w:line="264" w:lineRule="auto"/>
      </w:pPr>
      <w:r>
        <w:rPr>
          <w:color w:val="1A1A1A"/>
        </w:rPr>
        <w:t>The current Default Identity Provider Policy in the domain recorded — its rules and assigned identity providers — as the rollback baseline for Step A6.</w:t>
      </w:r>
    </w:p>
    <w:p w14:paraId="1DEB5D22" w14:textId="77777777" w:rsidR="00F854A1" w:rsidRDefault="00F854A1">
      <w:pPr>
        <w:spacing w:after="100"/>
      </w:pPr>
    </w:p>
    <w:p w14:paraId="6960A456" w14:textId="77777777" w:rsidR="00F854A1" w:rsidRDefault="00000000">
      <w:pPr>
        <w:spacing w:before="60" w:after="120" w:line="264" w:lineRule="auto"/>
      </w:pPr>
      <w:r>
        <w:rPr>
          <w:b/>
          <w:bCs/>
          <w:color w:val="1A1A1A"/>
        </w:rPr>
        <w:t xml:space="preserve">Recovery path. </w:t>
      </w:r>
      <w:r>
        <w:rPr>
          <w:color w:val="1A1A1A"/>
        </w:rPr>
        <w:t>The administrator reaches the OCI Console through the Default domain, which this procedure does not change, and the six local service and administrative accounts in the production domain are untouched. Neither route depends on Entra, so a fault in the federation cannot remove administrative access to correct it.</w:t>
      </w:r>
    </w:p>
    <w:p w14:paraId="3B8D5FEB" w14:textId="77777777" w:rsidR="00F854A1" w:rsidRDefault="00000000">
      <w:pPr>
        <w:pStyle w:val="Heading1"/>
        <w:pBdr>
          <w:bottom w:val="single" w:sz="10" w:space="4" w:color="C74634"/>
        </w:pBdr>
        <w:spacing w:before="320" w:after="140"/>
      </w:pPr>
      <w:r>
        <w:rPr>
          <w:b/>
          <w:bCs/>
          <w:color w:val="1F3864"/>
          <w:sz w:val="28"/>
          <w:szCs w:val="28"/>
        </w:rPr>
        <w:t>4. Decision — how a user is matched</w:t>
      </w:r>
    </w:p>
    <w:p w14:paraId="39A58AB2" w14:textId="77777777" w:rsidR="00F854A1" w:rsidRDefault="00000000">
      <w:pPr>
        <w:spacing w:before="60" w:after="120" w:line="264" w:lineRule="auto"/>
      </w:pPr>
      <w:r>
        <w:rPr>
          <w:color w:val="1A1A1A"/>
        </w:rPr>
        <w:t xml:space="preserve">When Entra sends an assertion, the domain </w:t>
      </w:r>
      <w:proofErr w:type="gramStart"/>
      <w:r>
        <w:rPr>
          <w:color w:val="1A1A1A"/>
        </w:rPr>
        <w:t>has to</w:t>
      </w:r>
      <w:proofErr w:type="gramEnd"/>
      <w:r>
        <w:rPr>
          <w:color w:val="1A1A1A"/>
        </w:rPr>
        <w:t xml:space="preserve"> find the account it belongs to. Entra sends one value as the Name ID, and the domain compares it against one of its own user attributes. The two sides must hold the same value for every user, or the sign-in fails even though authentication succeeded.</w:t>
      </w:r>
    </w:p>
    <w:p w14:paraId="1EC69DB7" w14:textId="77777777" w:rsidR="00F854A1" w:rsidRDefault="00F854A1">
      <w:pPr>
        <w:spacing w:after="100"/>
      </w:pPr>
    </w:p>
    <w:tbl>
      <w:tblPr>
        <w:tblW w:w="10080" w:type="dxa"/>
        <w:tblBorders>
          <w:top w:val="single" w:sz="4" w:space="0" w:color="B9C3D4"/>
          <w:left w:val="single" w:sz="4" w:space="0" w:color="B9C3D4"/>
          <w:bottom w:val="single" w:sz="4" w:space="0" w:color="B9C3D4"/>
          <w:right w:val="single" w:sz="4" w:space="0" w:color="B9C3D4"/>
          <w:insideH w:val="single" w:sz="2" w:space="0" w:color="D5DCE8"/>
          <w:insideV w:val="single" w:sz="2" w:space="0" w:color="D5DCE8"/>
        </w:tblBorders>
        <w:tblCellMar>
          <w:left w:w="10" w:type="dxa"/>
          <w:right w:w="10" w:type="dxa"/>
        </w:tblCellMar>
        <w:tblLook w:val="0000" w:firstRow="0" w:lastRow="0" w:firstColumn="0" w:lastColumn="0" w:noHBand="0" w:noVBand="0"/>
      </w:tblPr>
      <w:tblGrid>
        <w:gridCol w:w="2600"/>
        <w:gridCol w:w="3740"/>
        <w:gridCol w:w="3740"/>
      </w:tblGrid>
      <w:tr w:rsidR="00F854A1" w14:paraId="5C76A1E1" w14:textId="77777777">
        <w:tblPrEx>
          <w:tblCellMar>
            <w:top w:w="0" w:type="dxa"/>
            <w:bottom w:w="0" w:type="dxa"/>
          </w:tblCellMar>
        </w:tblPrEx>
        <w:trPr>
          <w:cantSplit/>
          <w:tblHeader/>
        </w:trPr>
        <w:tc>
          <w:tcPr>
            <w:tcW w:w="2600" w:type="dxa"/>
            <w:shd w:val="clear" w:color="auto" w:fill="1F3864"/>
            <w:tcMar>
              <w:top w:w="60" w:type="dxa"/>
              <w:left w:w="100" w:type="dxa"/>
              <w:bottom w:w="60" w:type="dxa"/>
              <w:right w:w="100" w:type="dxa"/>
            </w:tcMar>
          </w:tcPr>
          <w:p w14:paraId="449D4128" w14:textId="77777777" w:rsidR="00F854A1" w:rsidRDefault="00F854A1">
            <w:pPr>
              <w:spacing w:before="40" w:after="40" w:line="252" w:lineRule="auto"/>
            </w:pPr>
          </w:p>
        </w:tc>
        <w:tc>
          <w:tcPr>
            <w:tcW w:w="3740" w:type="dxa"/>
            <w:shd w:val="clear" w:color="auto" w:fill="1F3864"/>
            <w:tcMar>
              <w:top w:w="60" w:type="dxa"/>
              <w:left w:w="100" w:type="dxa"/>
              <w:bottom w:w="60" w:type="dxa"/>
              <w:right w:w="100" w:type="dxa"/>
            </w:tcMar>
          </w:tcPr>
          <w:p w14:paraId="5FD986E7" w14:textId="77777777" w:rsidR="00F854A1" w:rsidRDefault="00000000">
            <w:pPr>
              <w:spacing w:before="40" w:after="40" w:line="252" w:lineRule="auto"/>
            </w:pPr>
            <w:r>
              <w:rPr>
                <w:b/>
                <w:bCs/>
                <w:color w:val="FFFFFF"/>
                <w:sz w:val="19"/>
                <w:szCs w:val="19"/>
              </w:rPr>
              <w:t>Option A — email address</w:t>
            </w:r>
          </w:p>
        </w:tc>
        <w:tc>
          <w:tcPr>
            <w:tcW w:w="3740" w:type="dxa"/>
            <w:shd w:val="clear" w:color="auto" w:fill="1F3864"/>
            <w:tcMar>
              <w:top w:w="60" w:type="dxa"/>
              <w:left w:w="100" w:type="dxa"/>
              <w:bottom w:w="60" w:type="dxa"/>
              <w:right w:w="100" w:type="dxa"/>
            </w:tcMar>
          </w:tcPr>
          <w:p w14:paraId="371930EC" w14:textId="77777777" w:rsidR="00F854A1" w:rsidRDefault="00000000">
            <w:pPr>
              <w:spacing w:before="40" w:after="40" w:line="252" w:lineRule="auto"/>
            </w:pPr>
            <w:r>
              <w:rPr>
                <w:b/>
                <w:bCs/>
                <w:color w:val="FFFFFF"/>
                <w:sz w:val="19"/>
                <w:szCs w:val="19"/>
              </w:rPr>
              <w:t xml:space="preserve">Option B — </w:t>
            </w:r>
            <w:proofErr w:type="gramStart"/>
            <w:r>
              <w:rPr>
                <w:b/>
                <w:bCs/>
                <w:color w:val="FFFFFF"/>
                <w:sz w:val="19"/>
                <w:szCs w:val="19"/>
              </w:rPr>
              <w:t>user name</w:t>
            </w:r>
            <w:proofErr w:type="gramEnd"/>
          </w:p>
        </w:tc>
      </w:tr>
      <w:tr w:rsidR="00F854A1" w14:paraId="66BF52AA" w14:textId="77777777">
        <w:tblPrEx>
          <w:tblCellMar>
            <w:top w:w="0" w:type="dxa"/>
            <w:bottom w:w="0" w:type="dxa"/>
          </w:tblCellMar>
        </w:tblPrEx>
        <w:trPr>
          <w:cantSplit/>
        </w:trPr>
        <w:tc>
          <w:tcPr>
            <w:tcW w:w="2600" w:type="dxa"/>
            <w:shd w:val="clear" w:color="auto" w:fill="FFFFFF"/>
            <w:tcMar>
              <w:top w:w="60" w:type="dxa"/>
              <w:left w:w="100" w:type="dxa"/>
              <w:bottom w:w="60" w:type="dxa"/>
              <w:right w:w="100" w:type="dxa"/>
            </w:tcMar>
          </w:tcPr>
          <w:p w14:paraId="4E2D0DE7" w14:textId="77777777" w:rsidR="00F854A1" w:rsidRDefault="00000000">
            <w:pPr>
              <w:spacing w:before="40" w:after="40" w:line="252" w:lineRule="auto"/>
            </w:pPr>
            <w:r>
              <w:rPr>
                <w:b/>
                <w:bCs/>
                <w:color w:val="1A1A1A"/>
                <w:sz w:val="19"/>
                <w:szCs w:val="19"/>
              </w:rPr>
              <w:t>Entra Name ID source</w:t>
            </w:r>
          </w:p>
        </w:tc>
        <w:tc>
          <w:tcPr>
            <w:tcW w:w="3740" w:type="dxa"/>
            <w:shd w:val="clear" w:color="auto" w:fill="FFFFFF"/>
            <w:tcMar>
              <w:top w:w="60" w:type="dxa"/>
              <w:left w:w="100" w:type="dxa"/>
              <w:bottom w:w="60" w:type="dxa"/>
              <w:right w:w="100" w:type="dxa"/>
            </w:tcMar>
          </w:tcPr>
          <w:p w14:paraId="317B369A" w14:textId="77777777" w:rsidR="00F854A1" w:rsidRDefault="00000000">
            <w:pPr>
              <w:spacing w:before="40" w:after="40" w:line="252" w:lineRule="auto"/>
            </w:pPr>
            <w:proofErr w:type="spellStart"/>
            <w:proofErr w:type="gramStart"/>
            <w:r>
              <w:rPr>
                <w:color w:val="1A1A1A"/>
                <w:sz w:val="19"/>
                <w:szCs w:val="19"/>
              </w:rPr>
              <w:t>user.mail</w:t>
            </w:r>
            <w:proofErr w:type="spellEnd"/>
            <w:proofErr w:type="gramEnd"/>
          </w:p>
        </w:tc>
        <w:tc>
          <w:tcPr>
            <w:tcW w:w="3740" w:type="dxa"/>
            <w:shd w:val="clear" w:color="auto" w:fill="FFFFFF"/>
            <w:tcMar>
              <w:top w:w="60" w:type="dxa"/>
              <w:left w:w="100" w:type="dxa"/>
              <w:bottom w:w="60" w:type="dxa"/>
              <w:right w:w="100" w:type="dxa"/>
            </w:tcMar>
          </w:tcPr>
          <w:p w14:paraId="5EEA8A0F" w14:textId="77777777" w:rsidR="00F854A1" w:rsidRDefault="00000000">
            <w:pPr>
              <w:spacing w:before="40" w:after="40" w:line="252" w:lineRule="auto"/>
            </w:pPr>
            <w:proofErr w:type="spellStart"/>
            <w:proofErr w:type="gramStart"/>
            <w:r>
              <w:rPr>
                <w:color w:val="1A1A1A"/>
                <w:sz w:val="19"/>
                <w:szCs w:val="19"/>
              </w:rPr>
              <w:t>user.userprincipalname</w:t>
            </w:r>
            <w:proofErr w:type="spellEnd"/>
            <w:proofErr w:type="gramEnd"/>
          </w:p>
        </w:tc>
      </w:tr>
      <w:tr w:rsidR="00F854A1" w14:paraId="0594F73E" w14:textId="77777777">
        <w:tblPrEx>
          <w:tblCellMar>
            <w:top w:w="0" w:type="dxa"/>
            <w:bottom w:w="0" w:type="dxa"/>
          </w:tblCellMar>
        </w:tblPrEx>
        <w:trPr>
          <w:cantSplit/>
        </w:trPr>
        <w:tc>
          <w:tcPr>
            <w:tcW w:w="2600" w:type="dxa"/>
            <w:shd w:val="clear" w:color="auto" w:fill="F2F5F9"/>
            <w:tcMar>
              <w:top w:w="60" w:type="dxa"/>
              <w:left w:w="100" w:type="dxa"/>
              <w:bottom w:w="60" w:type="dxa"/>
              <w:right w:w="100" w:type="dxa"/>
            </w:tcMar>
          </w:tcPr>
          <w:p w14:paraId="54D32F34" w14:textId="77777777" w:rsidR="00F854A1" w:rsidRDefault="00000000">
            <w:pPr>
              <w:spacing w:before="40" w:after="40" w:line="252" w:lineRule="auto"/>
            </w:pPr>
            <w:r>
              <w:rPr>
                <w:b/>
                <w:bCs/>
                <w:color w:val="1A1A1A"/>
                <w:sz w:val="19"/>
                <w:szCs w:val="19"/>
              </w:rPr>
              <w:t>Requested Name ID format in the domain</w:t>
            </w:r>
          </w:p>
        </w:tc>
        <w:tc>
          <w:tcPr>
            <w:tcW w:w="3740" w:type="dxa"/>
            <w:shd w:val="clear" w:color="auto" w:fill="F2F5F9"/>
            <w:tcMar>
              <w:top w:w="60" w:type="dxa"/>
              <w:left w:w="100" w:type="dxa"/>
              <w:bottom w:w="60" w:type="dxa"/>
              <w:right w:w="100" w:type="dxa"/>
            </w:tcMar>
          </w:tcPr>
          <w:p w14:paraId="44C6C9DD" w14:textId="77777777" w:rsidR="00F854A1" w:rsidRDefault="00000000">
            <w:pPr>
              <w:spacing w:before="40" w:after="40" w:line="252" w:lineRule="auto"/>
            </w:pPr>
            <w:r>
              <w:rPr>
                <w:color w:val="1A1A1A"/>
                <w:sz w:val="19"/>
                <w:szCs w:val="19"/>
              </w:rPr>
              <w:t>Email address</w:t>
            </w:r>
          </w:p>
        </w:tc>
        <w:tc>
          <w:tcPr>
            <w:tcW w:w="3740" w:type="dxa"/>
            <w:shd w:val="clear" w:color="auto" w:fill="F2F5F9"/>
            <w:tcMar>
              <w:top w:w="60" w:type="dxa"/>
              <w:left w:w="100" w:type="dxa"/>
              <w:bottom w:w="60" w:type="dxa"/>
              <w:right w:w="100" w:type="dxa"/>
            </w:tcMar>
          </w:tcPr>
          <w:p w14:paraId="193AF350" w14:textId="77777777" w:rsidR="00F854A1" w:rsidRDefault="00000000">
            <w:pPr>
              <w:spacing w:before="40" w:after="40" w:line="252" w:lineRule="auto"/>
            </w:pPr>
            <w:r>
              <w:rPr>
                <w:color w:val="1A1A1A"/>
                <w:sz w:val="19"/>
                <w:szCs w:val="19"/>
              </w:rPr>
              <w:t>Email address</w:t>
            </w:r>
          </w:p>
        </w:tc>
      </w:tr>
      <w:tr w:rsidR="00F854A1" w14:paraId="2A478EE3" w14:textId="77777777">
        <w:tblPrEx>
          <w:tblCellMar>
            <w:top w:w="0" w:type="dxa"/>
            <w:bottom w:w="0" w:type="dxa"/>
          </w:tblCellMar>
        </w:tblPrEx>
        <w:trPr>
          <w:cantSplit/>
        </w:trPr>
        <w:tc>
          <w:tcPr>
            <w:tcW w:w="2600" w:type="dxa"/>
            <w:shd w:val="clear" w:color="auto" w:fill="FFFFFF"/>
            <w:tcMar>
              <w:top w:w="60" w:type="dxa"/>
              <w:left w:w="100" w:type="dxa"/>
              <w:bottom w:w="60" w:type="dxa"/>
              <w:right w:w="100" w:type="dxa"/>
            </w:tcMar>
          </w:tcPr>
          <w:p w14:paraId="3EDDBB53" w14:textId="77777777" w:rsidR="00F854A1" w:rsidRDefault="00000000">
            <w:pPr>
              <w:spacing w:before="40" w:after="40" w:line="252" w:lineRule="auto"/>
            </w:pPr>
            <w:r>
              <w:rPr>
                <w:b/>
                <w:bCs/>
                <w:color w:val="1A1A1A"/>
                <w:sz w:val="19"/>
                <w:szCs w:val="19"/>
              </w:rPr>
              <w:t>Identity provider user attribute</w:t>
            </w:r>
          </w:p>
        </w:tc>
        <w:tc>
          <w:tcPr>
            <w:tcW w:w="3740" w:type="dxa"/>
            <w:shd w:val="clear" w:color="auto" w:fill="FFFFFF"/>
            <w:tcMar>
              <w:top w:w="60" w:type="dxa"/>
              <w:left w:w="100" w:type="dxa"/>
              <w:bottom w:w="60" w:type="dxa"/>
              <w:right w:w="100" w:type="dxa"/>
            </w:tcMar>
          </w:tcPr>
          <w:p w14:paraId="5B6822A9" w14:textId="77777777" w:rsidR="00F854A1" w:rsidRDefault="00000000">
            <w:pPr>
              <w:spacing w:before="40" w:after="40" w:line="252" w:lineRule="auto"/>
            </w:pPr>
            <w:r>
              <w:rPr>
                <w:color w:val="1A1A1A"/>
                <w:sz w:val="19"/>
                <w:szCs w:val="19"/>
              </w:rPr>
              <w:t>SAML assertion Name ID</w:t>
            </w:r>
          </w:p>
        </w:tc>
        <w:tc>
          <w:tcPr>
            <w:tcW w:w="3740" w:type="dxa"/>
            <w:shd w:val="clear" w:color="auto" w:fill="FFFFFF"/>
            <w:tcMar>
              <w:top w:w="60" w:type="dxa"/>
              <w:left w:w="100" w:type="dxa"/>
              <w:bottom w:w="60" w:type="dxa"/>
              <w:right w:w="100" w:type="dxa"/>
            </w:tcMar>
          </w:tcPr>
          <w:p w14:paraId="4506A07C" w14:textId="77777777" w:rsidR="00F854A1" w:rsidRDefault="00000000">
            <w:pPr>
              <w:spacing w:before="40" w:after="40" w:line="252" w:lineRule="auto"/>
            </w:pPr>
            <w:r>
              <w:rPr>
                <w:color w:val="1A1A1A"/>
                <w:sz w:val="19"/>
                <w:szCs w:val="19"/>
              </w:rPr>
              <w:t>SAML assertion Name ID</w:t>
            </w:r>
          </w:p>
        </w:tc>
      </w:tr>
      <w:tr w:rsidR="00F854A1" w14:paraId="051D4B07" w14:textId="77777777">
        <w:tblPrEx>
          <w:tblCellMar>
            <w:top w:w="0" w:type="dxa"/>
            <w:bottom w:w="0" w:type="dxa"/>
          </w:tblCellMar>
        </w:tblPrEx>
        <w:trPr>
          <w:cantSplit/>
        </w:trPr>
        <w:tc>
          <w:tcPr>
            <w:tcW w:w="2600" w:type="dxa"/>
            <w:shd w:val="clear" w:color="auto" w:fill="F2F5F9"/>
            <w:tcMar>
              <w:top w:w="60" w:type="dxa"/>
              <w:left w:w="100" w:type="dxa"/>
              <w:bottom w:w="60" w:type="dxa"/>
              <w:right w:w="100" w:type="dxa"/>
            </w:tcMar>
          </w:tcPr>
          <w:p w14:paraId="16416C24" w14:textId="77777777" w:rsidR="00F854A1" w:rsidRDefault="00000000">
            <w:pPr>
              <w:spacing w:before="40" w:after="40" w:line="252" w:lineRule="auto"/>
            </w:pPr>
            <w:r>
              <w:rPr>
                <w:b/>
                <w:bCs/>
                <w:color w:val="1A1A1A"/>
                <w:sz w:val="19"/>
                <w:szCs w:val="19"/>
              </w:rPr>
              <w:t>Identity domain user attribute</w:t>
            </w:r>
          </w:p>
        </w:tc>
        <w:tc>
          <w:tcPr>
            <w:tcW w:w="3740" w:type="dxa"/>
            <w:shd w:val="clear" w:color="auto" w:fill="F2F5F9"/>
            <w:tcMar>
              <w:top w:w="60" w:type="dxa"/>
              <w:left w:w="100" w:type="dxa"/>
              <w:bottom w:w="60" w:type="dxa"/>
              <w:right w:w="100" w:type="dxa"/>
            </w:tcMar>
          </w:tcPr>
          <w:p w14:paraId="66DE541A" w14:textId="77777777" w:rsidR="00F854A1" w:rsidRDefault="00000000">
            <w:pPr>
              <w:spacing w:before="40" w:after="40" w:line="252" w:lineRule="auto"/>
            </w:pPr>
            <w:r>
              <w:rPr>
                <w:color w:val="1A1A1A"/>
                <w:sz w:val="19"/>
                <w:szCs w:val="19"/>
              </w:rPr>
              <w:t>Primary email address</w:t>
            </w:r>
          </w:p>
        </w:tc>
        <w:tc>
          <w:tcPr>
            <w:tcW w:w="3740" w:type="dxa"/>
            <w:shd w:val="clear" w:color="auto" w:fill="F2F5F9"/>
            <w:tcMar>
              <w:top w:w="60" w:type="dxa"/>
              <w:left w:w="100" w:type="dxa"/>
              <w:bottom w:w="60" w:type="dxa"/>
              <w:right w:w="100" w:type="dxa"/>
            </w:tcMar>
          </w:tcPr>
          <w:p w14:paraId="7A4D5E08" w14:textId="77777777" w:rsidR="00F854A1" w:rsidRDefault="00000000">
            <w:pPr>
              <w:spacing w:before="40" w:after="40" w:line="252" w:lineRule="auto"/>
            </w:pPr>
            <w:proofErr w:type="gramStart"/>
            <w:r>
              <w:rPr>
                <w:color w:val="1A1A1A"/>
                <w:sz w:val="19"/>
                <w:szCs w:val="19"/>
              </w:rPr>
              <w:t>User name</w:t>
            </w:r>
            <w:proofErr w:type="gramEnd"/>
          </w:p>
        </w:tc>
      </w:tr>
      <w:tr w:rsidR="00F854A1" w14:paraId="12D27964" w14:textId="77777777">
        <w:tblPrEx>
          <w:tblCellMar>
            <w:top w:w="0" w:type="dxa"/>
            <w:bottom w:w="0" w:type="dxa"/>
          </w:tblCellMar>
        </w:tblPrEx>
        <w:trPr>
          <w:cantSplit/>
        </w:trPr>
        <w:tc>
          <w:tcPr>
            <w:tcW w:w="2600" w:type="dxa"/>
            <w:shd w:val="clear" w:color="auto" w:fill="FFFFFF"/>
            <w:tcMar>
              <w:top w:w="60" w:type="dxa"/>
              <w:left w:w="100" w:type="dxa"/>
              <w:bottom w:w="60" w:type="dxa"/>
              <w:right w:w="100" w:type="dxa"/>
            </w:tcMar>
          </w:tcPr>
          <w:p w14:paraId="4FD3F13B" w14:textId="77777777" w:rsidR="00F854A1" w:rsidRDefault="00000000">
            <w:pPr>
              <w:spacing w:before="40" w:after="40" w:line="252" w:lineRule="auto"/>
            </w:pPr>
            <w:r>
              <w:rPr>
                <w:b/>
                <w:bCs/>
                <w:color w:val="1A1A1A"/>
                <w:sz w:val="19"/>
                <w:szCs w:val="19"/>
              </w:rPr>
              <w:t>Works when</w:t>
            </w:r>
          </w:p>
        </w:tc>
        <w:tc>
          <w:tcPr>
            <w:tcW w:w="3740" w:type="dxa"/>
            <w:shd w:val="clear" w:color="auto" w:fill="FFFFFF"/>
            <w:tcMar>
              <w:top w:w="60" w:type="dxa"/>
              <w:left w:w="100" w:type="dxa"/>
              <w:bottom w:w="60" w:type="dxa"/>
              <w:right w:w="100" w:type="dxa"/>
            </w:tcMar>
          </w:tcPr>
          <w:p w14:paraId="10DA4C4A" w14:textId="77777777" w:rsidR="00F854A1" w:rsidRDefault="00000000">
            <w:pPr>
              <w:spacing w:before="40" w:after="40" w:line="252" w:lineRule="auto"/>
            </w:pPr>
            <w:r>
              <w:rPr>
                <w:color w:val="1A1A1A"/>
                <w:sz w:val="19"/>
                <w:szCs w:val="19"/>
              </w:rPr>
              <w:t>Every account's primary email address is populated and identical to the Entra mail attribute</w:t>
            </w:r>
          </w:p>
        </w:tc>
        <w:tc>
          <w:tcPr>
            <w:tcW w:w="3740" w:type="dxa"/>
            <w:shd w:val="clear" w:color="auto" w:fill="FFFFFF"/>
            <w:tcMar>
              <w:top w:w="60" w:type="dxa"/>
              <w:left w:w="100" w:type="dxa"/>
              <w:bottom w:w="60" w:type="dxa"/>
              <w:right w:w="100" w:type="dxa"/>
            </w:tcMar>
          </w:tcPr>
          <w:p w14:paraId="21AD5CEB" w14:textId="77777777" w:rsidR="00F854A1" w:rsidRDefault="00000000">
            <w:pPr>
              <w:spacing w:before="40" w:after="40" w:line="252" w:lineRule="auto"/>
            </w:pPr>
            <w:r>
              <w:rPr>
                <w:color w:val="1A1A1A"/>
                <w:sz w:val="19"/>
                <w:szCs w:val="19"/>
              </w:rPr>
              <w:t xml:space="preserve">Every account's </w:t>
            </w:r>
            <w:proofErr w:type="gramStart"/>
            <w:r>
              <w:rPr>
                <w:color w:val="1A1A1A"/>
                <w:sz w:val="19"/>
                <w:szCs w:val="19"/>
              </w:rPr>
              <w:t>user name</w:t>
            </w:r>
            <w:proofErr w:type="gramEnd"/>
            <w:r>
              <w:rPr>
                <w:color w:val="1A1A1A"/>
                <w:sz w:val="19"/>
                <w:szCs w:val="19"/>
              </w:rPr>
              <w:t xml:space="preserve"> is identical to the Entra user principal name</w:t>
            </w:r>
          </w:p>
        </w:tc>
      </w:tr>
      <w:tr w:rsidR="00F854A1" w14:paraId="2E4259F7" w14:textId="77777777">
        <w:tblPrEx>
          <w:tblCellMar>
            <w:top w:w="0" w:type="dxa"/>
            <w:bottom w:w="0" w:type="dxa"/>
          </w:tblCellMar>
        </w:tblPrEx>
        <w:trPr>
          <w:cantSplit/>
        </w:trPr>
        <w:tc>
          <w:tcPr>
            <w:tcW w:w="2600" w:type="dxa"/>
            <w:shd w:val="clear" w:color="auto" w:fill="F2F5F9"/>
            <w:tcMar>
              <w:top w:w="60" w:type="dxa"/>
              <w:left w:w="100" w:type="dxa"/>
              <w:bottom w:w="60" w:type="dxa"/>
              <w:right w:w="100" w:type="dxa"/>
            </w:tcMar>
          </w:tcPr>
          <w:p w14:paraId="2F87B8E3" w14:textId="77777777" w:rsidR="00F854A1" w:rsidRDefault="00000000">
            <w:pPr>
              <w:spacing w:before="40" w:after="40" w:line="252" w:lineRule="auto"/>
            </w:pPr>
            <w:r>
              <w:rPr>
                <w:b/>
                <w:bCs/>
                <w:color w:val="1A1A1A"/>
                <w:sz w:val="19"/>
                <w:szCs w:val="19"/>
              </w:rPr>
              <w:t>Fit for this domain</w:t>
            </w:r>
          </w:p>
        </w:tc>
        <w:tc>
          <w:tcPr>
            <w:tcW w:w="3740" w:type="dxa"/>
            <w:shd w:val="clear" w:color="auto" w:fill="F2F5F9"/>
            <w:tcMar>
              <w:top w:w="60" w:type="dxa"/>
              <w:left w:w="100" w:type="dxa"/>
              <w:bottom w:w="60" w:type="dxa"/>
              <w:right w:w="100" w:type="dxa"/>
            </w:tcMar>
          </w:tcPr>
          <w:p w14:paraId="04CCA1DA" w14:textId="77777777" w:rsidR="00F854A1" w:rsidRDefault="00000000">
            <w:pPr>
              <w:spacing w:before="40" w:after="40" w:line="252" w:lineRule="auto"/>
            </w:pPr>
            <w:r>
              <w:rPr>
                <w:color w:val="1A1A1A"/>
                <w:sz w:val="19"/>
                <w:szCs w:val="19"/>
              </w:rPr>
              <w:t>Unproven — the inventory shows no primary email addresses</w:t>
            </w:r>
          </w:p>
        </w:tc>
        <w:tc>
          <w:tcPr>
            <w:tcW w:w="3740" w:type="dxa"/>
            <w:shd w:val="clear" w:color="auto" w:fill="F2F5F9"/>
            <w:tcMar>
              <w:top w:w="60" w:type="dxa"/>
              <w:left w:w="100" w:type="dxa"/>
              <w:bottom w:w="60" w:type="dxa"/>
              <w:right w:w="100" w:type="dxa"/>
            </w:tcMar>
          </w:tcPr>
          <w:p w14:paraId="3969E351" w14:textId="55BB0D77" w:rsidR="00F854A1" w:rsidRDefault="00000000">
            <w:pPr>
              <w:spacing w:before="40" w:after="40" w:line="252" w:lineRule="auto"/>
            </w:pPr>
            <w:r>
              <w:rPr>
                <w:color w:val="1A1A1A"/>
                <w:sz w:val="19"/>
                <w:szCs w:val="19"/>
              </w:rPr>
              <w:t xml:space="preserve">Fits the evidence — </w:t>
            </w:r>
            <w:proofErr w:type="gramStart"/>
            <w:r>
              <w:rPr>
                <w:color w:val="1A1A1A"/>
                <w:sz w:val="19"/>
                <w:szCs w:val="19"/>
              </w:rPr>
              <w:t>the  user</w:t>
            </w:r>
            <w:proofErr w:type="gramEnd"/>
            <w:r>
              <w:rPr>
                <w:color w:val="1A1A1A"/>
                <w:sz w:val="19"/>
                <w:szCs w:val="19"/>
              </w:rPr>
              <w:t xml:space="preserve"> name in the domain is already in </w:t>
            </w:r>
            <w:proofErr w:type="gramStart"/>
            <w:r>
              <w:rPr>
                <w:color w:val="1A1A1A"/>
                <w:sz w:val="19"/>
                <w:szCs w:val="19"/>
              </w:rPr>
              <w:t>principal</w:t>
            </w:r>
            <w:proofErr w:type="gramEnd"/>
            <w:r>
              <w:rPr>
                <w:color w:val="1A1A1A"/>
                <w:sz w:val="19"/>
                <w:szCs w:val="19"/>
              </w:rPr>
              <w:t>-name form</w:t>
            </w:r>
          </w:p>
        </w:tc>
      </w:tr>
    </w:tbl>
    <w:p w14:paraId="428233C5" w14:textId="77777777" w:rsidR="00F854A1" w:rsidRDefault="00F854A1">
      <w:pPr>
        <w:spacing w:after="100"/>
      </w:pPr>
    </w:p>
    <w:p w14:paraId="1808DAA5" w14:textId="77777777" w:rsidR="00F854A1" w:rsidRDefault="00000000">
      <w:pPr>
        <w:spacing w:before="60" w:after="120" w:line="264" w:lineRule="auto"/>
      </w:pPr>
      <w:r>
        <w:rPr>
          <w:b/>
          <w:bCs/>
          <w:color w:val="1A1A1A"/>
        </w:rPr>
        <w:t xml:space="preserve">Recommendation: Option B, </w:t>
      </w:r>
      <w:r>
        <w:rPr>
          <w:color w:val="1A1A1A"/>
        </w:rPr>
        <w:t xml:space="preserve">unless the console check in Section 2 shows primary email addresses populated and matching. It matches on the attribute the domain demonstrably holds, and it keeps SSO and SCIM consistent — SCIM writes the Entra user principal name into the domain </w:t>
      </w:r>
      <w:proofErr w:type="gramStart"/>
      <w:r>
        <w:rPr>
          <w:color w:val="1A1A1A"/>
        </w:rPr>
        <w:t>user name</w:t>
      </w:r>
      <w:proofErr w:type="gramEnd"/>
      <w:r>
        <w:rPr>
          <w:color w:val="1A1A1A"/>
        </w:rPr>
        <w:t xml:space="preserve"> by default, so the value Entra provisions is the value Entra later asserts. The steps below give both settings at Step A4 and Step A5; use one option consistently in both places.</w:t>
      </w:r>
    </w:p>
    <w:p w14:paraId="26B8A9C2" w14:textId="77777777" w:rsidR="00F854A1" w:rsidRDefault="00000000">
      <w:r>
        <w:br w:type="page"/>
      </w:r>
    </w:p>
    <w:p w14:paraId="15554BB3" w14:textId="77777777" w:rsidR="00F854A1" w:rsidRDefault="00000000">
      <w:pPr>
        <w:pStyle w:val="Heading1"/>
        <w:pBdr>
          <w:bottom w:val="single" w:sz="10" w:space="4" w:color="C74634"/>
        </w:pBdr>
        <w:spacing w:before="320" w:after="140"/>
      </w:pPr>
      <w:r>
        <w:rPr>
          <w:b/>
          <w:bCs/>
          <w:color w:val="1F3864"/>
          <w:sz w:val="28"/>
          <w:szCs w:val="28"/>
        </w:rPr>
        <w:lastRenderedPageBreak/>
        <w:t xml:space="preserve">Part A — Single </w:t>
      </w:r>
      <w:proofErr w:type="gramStart"/>
      <w:r>
        <w:rPr>
          <w:b/>
          <w:bCs/>
          <w:color w:val="1F3864"/>
          <w:sz w:val="28"/>
          <w:szCs w:val="28"/>
        </w:rPr>
        <w:t>sign</w:t>
      </w:r>
      <w:proofErr w:type="gramEnd"/>
      <w:r>
        <w:rPr>
          <w:b/>
          <w:bCs/>
          <w:color w:val="1F3864"/>
          <w:sz w:val="28"/>
          <w:szCs w:val="28"/>
        </w:rPr>
        <w:t xml:space="preserve">-on </w:t>
      </w:r>
      <w:proofErr w:type="gramStart"/>
      <w:r>
        <w:rPr>
          <w:b/>
          <w:bCs/>
          <w:color w:val="1F3864"/>
          <w:sz w:val="28"/>
          <w:szCs w:val="28"/>
        </w:rPr>
        <w:t>federation</w:t>
      </w:r>
      <w:proofErr w:type="gramEnd"/>
    </w:p>
    <w:p w14:paraId="0445CBCD" w14:textId="77777777" w:rsidR="00F854A1" w:rsidRDefault="00000000">
      <w:pPr>
        <w:pStyle w:val="Heading2"/>
        <w:spacing w:before="240" w:after="100"/>
      </w:pPr>
      <w:r>
        <w:rPr>
          <w:b/>
          <w:bCs/>
          <w:color w:val="1F3864"/>
          <w:sz w:val="24"/>
          <w:szCs w:val="24"/>
        </w:rPr>
        <w:t>A1. Export the domain's service provider metadata</w:t>
      </w:r>
    </w:p>
    <w:p w14:paraId="04A82CAD" w14:textId="77777777" w:rsidR="00F854A1" w:rsidRDefault="00000000">
      <w:pPr>
        <w:pStyle w:val="ListParagraph"/>
        <w:numPr>
          <w:ilvl w:val="0"/>
          <w:numId w:val="4"/>
        </w:numPr>
        <w:spacing w:before="40" w:after="60" w:line="264" w:lineRule="auto"/>
      </w:pPr>
      <w:r>
        <w:rPr>
          <w:color w:val="1A1A1A"/>
        </w:rPr>
        <w:t>Sign in to the OCI Console as the tenancy administrator and open Identity &amp; Security → Domains → ERP@fa-icfdjb-msb7c.</w:t>
      </w:r>
    </w:p>
    <w:p w14:paraId="42C69AFA" w14:textId="77777777" w:rsidR="00F854A1" w:rsidRDefault="00000000">
      <w:pPr>
        <w:pStyle w:val="ListParagraph"/>
        <w:numPr>
          <w:ilvl w:val="0"/>
          <w:numId w:val="4"/>
        </w:numPr>
        <w:spacing w:before="40" w:after="60" w:line="264" w:lineRule="auto"/>
      </w:pPr>
      <w:r>
        <w:rPr>
          <w:color w:val="1A1A1A"/>
        </w:rPr>
        <w:t>Open Settings → Domain settings. Under Access signing certificate, select Configure client access, then Save changes. This allows the domain's signing certificate and metadata to be read without signing in, which Entra needs.</w:t>
      </w:r>
    </w:p>
    <w:p w14:paraId="58343027" w14:textId="77777777" w:rsidR="00F854A1" w:rsidRDefault="00000000">
      <w:pPr>
        <w:pStyle w:val="ListParagraph"/>
        <w:numPr>
          <w:ilvl w:val="0"/>
          <w:numId w:val="4"/>
        </w:numPr>
        <w:spacing w:before="40" w:after="60" w:line="264" w:lineRule="auto"/>
      </w:pPr>
      <w:r>
        <w:rPr>
          <w:color w:val="1A1A1A"/>
        </w:rPr>
        <w:t>Return to the domain overview and copy the Domain URL from the domain information panel.</w:t>
      </w:r>
    </w:p>
    <w:p w14:paraId="65281F02" w14:textId="77777777" w:rsidR="00F854A1" w:rsidRDefault="00000000">
      <w:pPr>
        <w:pStyle w:val="ListParagraph"/>
        <w:numPr>
          <w:ilvl w:val="0"/>
          <w:numId w:val="4"/>
        </w:numPr>
        <w:spacing w:before="40" w:after="60" w:line="264" w:lineRule="auto"/>
      </w:pPr>
      <w:r>
        <w:rPr>
          <w:color w:val="1A1A1A"/>
        </w:rPr>
        <w:t>In a new browser tab, open the domain URL with /fed/v1/metadata appended — for example https://idcs-&lt;unique-id</w:t>
      </w:r>
      <w:proofErr w:type="gramStart"/>
      <w:r>
        <w:rPr>
          <w:color w:val="1A1A1A"/>
        </w:rPr>
        <w:t>&gt;.identity.oraclecloud.com:443</w:t>
      </w:r>
      <w:proofErr w:type="gramEnd"/>
      <w:r>
        <w:rPr>
          <w:color w:val="1A1A1A"/>
        </w:rPr>
        <w:t>/fed/v1/metadata.</w:t>
      </w:r>
    </w:p>
    <w:p w14:paraId="4F3A7D92" w14:textId="77777777" w:rsidR="00F854A1" w:rsidRDefault="00000000">
      <w:pPr>
        <w:pStyle w:val="ListParagraph"/>
        <w:numPr>
          <w:ilvl w:val="0"/>
          <w:numId w:val="4"/>
        </w:numPr>
        <w:spacing w:before="40" w:after="60" w:line="264" w:lineRule="auto"/>
      </w:pPr>
      <w:r>
        <w:rPr>
          <w:color w:val="1A1A1A"/>
        </w:rPr>
        <w:t>Save the returned document as an XML file, for example msb7c-sp-metadata.xml, and file it in the change record.</w:t>
      </w:r>
    </w:p>
    <w:p w14:paraId="11F02ED2" w14:textId="77777777" w:rsidR="00F854A1" w:rsidRDefault="00000000">
      <w:pPr>
        <w:pStyle w:val="Heading2"/>
        <w:spacing w:before="240" w:after="100"/>
      </w:pPr>
      <w:r>
        <w:rPr>
          <w:b/>
          <w:bCs/>
          <w:color w:val="1F3864"/>
          <w:sz w:val="24"/>
          <w:szCs w:val="24"/>
        </w:rPr>
        <w:t>A2. Create the Entra enterprise application</w:t>
      </w:r>
    </w:p>
    <w:p w14:paraId="4640ED87" w14:textId="77777777" w:rsidR="00F854A1" w:rsidRDefault="00000000">
      <w:pPr>
        <w:pStyle w:val="ListParagraph"/>
        <w:numPr>
          <w:ilvl w:val="0"/>
          <w:numId w:val="5"/>
        </w:numPr>
        <w:spacing w:before="40" w:after="60" w:line="264" w:lineRule="auto"/>
      </w:pPr>
      <w:r>
        <w:rPr>
          <w:color w:val="1A1A1A"/>
        </w:rPr>
        <w:t>Sign in to the Microsoft Entra admin center at https://entra.microsoft.com.</w:t>
      </w:r>
    </w:p>
    <w:p w14:paraId="43E53992" w14:textId="77777777" w:rsidR="00F854A1" w:rsidRDefault="00000000">
      <w:pPr>
        <w:pStyle w:val="ListParagraph"/>
        <w:numPr>
          <w:ilvl w:val="0"/>
          <w:numId w:val="5"/>
        </w:numPr>
        <w:spacing w:before="40" w:after="60" w:line="264" w:lineRule="auto"/>
      </w:pPr>
      <w:r>
        <w:rPr>
          <w:color w:val="1A1A1A"/>
        </w:rPr>
        <w:t xml:space="preserve">Go to Identity → Applications → Enterprise applications and select </w:t>
      </w:r>
      <w:proofErr w:type="gramStart"/>
      <w:r>
        <w:rPr>
          <w:color w:val="1A1A1A"/>
        </w:rPr>
        <w:t>New</w:t>
      </w:r>
      <w:proofErr w:type="gramEnd"/>
      <w:r>
        <w:rPr>
          <w:color w:val="1A1A1A"/>
        </w:rPr>
        <w:t xml:space="preserve"> </w:t>
      </w:r>
      <w:proofErr w:type="gramStart"/>
      <w:r>
        <w:rPr>
          <w:color w:val="1A1A1A"/>
        </w:rPr>
        <w:t>application</w:t>
      </w:r>
      <w:proofErr w:type="gramEnd"/>
      <w:r>
        <w:rPr>
          <w:color w:val="1A1A1A"/>
        </w:rPr>
        <w:t>.</w:t>
      </w:r>
    </w:p>
    <w:p w14:paraId="4BDE7499" w14:textId="77777777" w:rsidR="00F854A1" w:rsidRDefault="00000000">
      <w:pPr>
        <w:pStyle w:val="ListParagraph"/>
        <w:numPr>
          <w:ilvl w:val="0"/>
          <w:numId w:val="5"/>
        </w:numPr>
        <w:spacing w:before="40" w:after="60" w:line="264" w:lineRule="auto"/>
      </w:pPr>
      <w:r>
        <w:rPr>
          <w:color w:val="1A1A1A"/>
        </w:rPr>
        <w:t>Search the gallery for Oracle Cloud Infrastructure Console and select the tile published by Oracle Corporation.</w:t>
      </w:r>
    </w:p>
    <w:p w14:paraId="302BF444" w14:textId="77777777" w:rsidR="00F854A1" w:rsidRDefault="00000000">
      <w:pPr>
        <w:pStyle w:val="ListParagraph"/>
        <w:numPr>
          <w:ilvl w:val="0"/>
          <w:numId w:val="5"/>
        </w:numPr>
        <w:spacing w:before="40" w:after="60" w:line="264" w:lineRule="auto"/>
      </w:pPr>
      <w:r>
        <w:rPr>
          <w:color w:val="1A1A1A"/>
        </w:rPr>
        <w:t xml:space="preserve">Enter a name that identifies this as the production Fusion </w:t>
      </w:r>
      <w:proofErr w:type="gramStart"/>
      <w:r>
        <w:rPr>
          <w:color w:val="1A1A1A"/>
        </w:rPr>
        <w:t>application, and</w:t>
      </w:r>
      <w:proofErr w:type="gramEnd"/>
      <w:r>
        <w:rPr>
          <w:color w:val="1A1A1A"/>
        </w:rPr>
        <w:t xml:space="preserve"> select Create.</w:t>
      </w:r>
    </w:p>
    <w:p w14:paraId="214690A6" w14:textId="77777777" w:rsidR="00F854A1" w:rsidRDefault="00000000">
      <w:pPr>
        <w:pStyle w:val="Heading2"/>
        <w:spacing w:before="240" w:after="100"/>
      </w:pPr>
      <w:r>
        <w:rPr>
          <w:b/>
          <w:bCs/>
          <w:color w:val="1F3864"/>
          <w:sz w:val="24"/>
          <w:szCs w:val="24"/>
        </w:rPr>
        <w:t>A3. Configure SAML single sign-on on the application</w:t>
      </w:r>
    </w:p>
    <w:p w14:paraId="2B27EFC5" w14:textId="77777777" w:rsidR="00F854A1" w:rsidRDefault="00000000">
      <w:pPr>
        <w:pStyle w:val="ListParagraph"/>
        <w:numPr>
          <w:ilvl w:val="0"/>
          <w:numId w:val="6"/>
        </w:numPr>
        <w:spacing w:before="40" w:after="60" w:line="264" w:lineRule="auto"/>
      </w:pPr>
      <w:r>
        <w:rPr>
          <w:color w:val="1A1A1A"/>
        </w:rPr>
        <w:t>In the new application, under Getting Started, select Get started under Set up single sign on, then choose SAML.</w:t>
      </w:r>
    </w:p>
    <w:p w14:paraId="36262CA3" w14:textId="77777777" w:rsidR="00F854A1" w:rsidRDefault="00000000">
      <w:pPr>
        <w:pStyle w:val="ListParagraph"/>
        <w:numPr>
          <w:ilvl w:val="0"/>
          <w:numId w:val="6"/>
        </w:numPr>
        <w:spacing w:before="40" w:after="60" w:line="264" w:lineRule="auto"/>
      </w:pPr>
      <w:r>
        <w:rPr>
          <w:color w:val="1A1A1A"/>
        </w:rPr>
        <w:t>Select Upload metadata file and choose the XML file saved in Step A1. This populates the Identifier (Entity ID) and Reply URL from the domain.</w:t>
      </w:r>
    </w:p>
    <w:p w14:paraId="718B3B69" w14:textId="77777777" w:rsidR="00F854A1" w:rsidRDefault="00000000">
      <w:pPr>
        <w:pStyle w:val="ListParagraph"/>
        <w:numPr>
          <w:ilvl w:val="0"/>
          <w:numId w:val="6"/>
        </w:numPr>
        <w:spacing w:before="40" w:after="60" w:line="264" w:lineRule="auto"/>
      </w:pPr>
      <w:r>
        <w:rPr>
          <w:color w:val="1A1A1A"/>
        </w:rPr>
        <w:t>Set the Sign on URL to the production Fusion URL recorded in Section 3, so that the application tile in My Apps opens Fusion.</w:t>
      </w:r>
    </w:p>
    <w:p w14:paraId="05730EF4" w14:textId="77777777" w:rsidR="00F854A1" w:rsidRDefault="00000000">
      <w:pPr>
        <w:pStyle w:val="ListParagraph"/>
        <w:numPr>
          <w:ilvl w:val="0"/>
          <w:numId w:val="6"/>
        </w:numPr>
        <w:spacing w:before="40" w:after="60" w:line="264" w:lineRule="auto"/>
      </w:pPr>
      <w:r>
        <w:rPr>
          <w:color w:val="1A1A1A"/>
        </w:rPr>
        <w:t xml:space="preserve">Select </w:t>
      </w:r>
      <w:proofErr w:type="gramStart"/>
      <w:r>
        <w:rPr>
          <w:color w:val="1A1A1A"/>
        </w:rPr>
        <w:t>Save, and</w:t>
      </w:r>
      <w:proofErr w:type="gramEnd"/>
      <w:r>
        <w:rPr>
          <w:color w:val="1A1A1A"/>
        </w:rPr>
        <w:t xml:space="preserve"> close the upload panel. Decline the offer to test at this point — testing follows in Step A7.</w:t>
      </w:r>
    </w:p>
    <w:p w14:paraId="2A115805" w14:textId="77777777" w:rsidR="00F854A1" w:rsidRDefault="00000000">
      <w:pPr>
        <w:pStyle w:val="ListParagraph"/>
        <w:numPr>
          <w:ilvl w:val="0"/>
          <w:numId w:val="6"/>
        </w:numPr>
        <w:spacing w:before="40" w:after="60" w:line="264" w:lineRule="auto"/>
      </w:pPr>
      <w:r>
        <w:rPr>
          <w:color w:val="1A1A1A"/>
        </w:rPr>
        <w:t>On the Set up Single Sign-On with SAML page, under SAML Certificates, download the Federation Metadata XML and file it in the change record. Record the signing certificate's expiry date in the operations calendar.</w:t>
      </w:r>
    </w:p>
    <w:p w14:paraId="766A8630" w14:textId="77777777" w:rsidR="00F854A1" w:rsidRDefault="00000000">
      <w:pPr>
        <w:pStyle w:val="Heading2"/>
        <w:spacing w:before="240" w:after="100"/>
      </w:pPr>
      <w:r>
        <w:rPr>
          <w:b/>
          <w:bCs/>
          <w:color w:val="1F3864"/>
          <w:sz w:val="24"/>
          <w:szCs w:val="24"/>
        </w:rPr>
        <w:t>A4. Set the Name ID claim</w:t>
      </w:r>
    </w:p>
    <w:p w14:paraId="6FAADF7D" w14:textId="77777777" w:rsidR="00F854A1" w:rsidRDefault="00000000">
      <w:pPr>
        <w:pStyle w:val="ListParagraph"/>
        <w:numPr>
          <w:ilvl w:val="0"/>
          <w:numId w:val="7"/>
        </w:numPr>
        <w:spacing w:before="40" w:after="60" w:line="264" w:lineRule="auto"/>
      </w:pPr>
      <w:r>
        <w:rPr>
          <w:color w:val="1A1A1A"/>
        </w:rPr>
        <w:t>In the application, open Single sign-on and select Edit under Attributes &amp; Claims.</w:t>
      </w:r>
    </w:p>
    <w:p w14:paraId="094CA896" w14:textId="77777777" w:rsidR="00F854A1" w:rsidRDefault="00000000">
      <w:pPr>
        <w:pStyle w:val="ListParagraph"/>
        <w:numPr>
          <w:ilvl w:val="0"/>
          <w:numId w:val="7"/>
        </w:numPr>
        <w:spacing w:before="40" w:after="60" w:line="264" w:lineRule="auto"/>
      </w:pPr>
      <w:r>
        <w:rPr>
          <w:color w:val="1A1A1A"/>
        </w:rPr>
        <w:t>Select the required claim Unique User Identifier (Name ID).</w:t>
      </w:r>
    </w:p>
    <w:p w14:paraId="5CEC44CD" w14:textId="77777777" w:rsidR="00F854A1" w:rsidRDefault="00000000">
      <w:pPr>
        <w:pStyle w:val="ListParagraph"/>
        <w:numPr>
          <w:ilvl w:val="0"/>
          <w:numId w:val="7"/>
        </w:numPr>
        <w:spacing w:before="40" w:after="60" w:line="264" w:lineRule="auto"/>
      </w:pPr>
      <w:r>
        <w:rPr>
          <w:color w:val="1A1A1A"/>
        </w:rPr>
        <w:t xml:space="preserve">Set Name identifier format to </w:t>
      </w:r>
      <w:proofErr w:type="gramStart"/>
      <w:r>
        <w:rPr>
          <w:color w:val="1A1A1A"/>
        </w:rPr>
        <w:t>Email</w:t>
      </w:r>
      <w:proofErr w:type="gramEnd"/>
      <w:r>
        <w:rPr>
          <w:color w:val="1A1A1A"/>
        </w:rPr>
        <w:t xml:space="preserve"> </w:t>
      </w:r>
      <w:proofErr w:type="gramStart"/>
      <w:r>
        <w:rPr>
          <w:color w:val="1A1A1A"/>
        </w:rPr>
        <w:t>address, and</w:t>
      </w:r>
      <w:proofErr w:type="gramEnd"/>
      <w:r>
        <w:rPr>
          <w:color w:val="1A1A1A"/>
        </w:rPr>
        <w:t xml:space="preserve"> set Source attribute according to the Section 4 decision: </w:t>
      </w:r>
      <w:proofErr w:type="spellStart"/>
      <w:proofErr w:type="gramStart"/>
      <w:r>
        <w:rPr>
          <w:color w:val="1A1A1A"/>
        </w:rPr>
        <w:t>user.userprincipalname</w:t>
      </w:r>
      <w:proofErr w:type="spellEnd"/>
      <w:proofErr w:type="gramEnd"/>
      <w:r>
        <w:rPr>
          <w:color w:val="1A1A1A"/>
        </w:rPr>
        <w:t xml:space="preserve"> for Option B, or </w:t>
      </w:r>
      <w:proofErr w:type="spellStart"/>
      <w:proofErr w:type="gramStart"/>
      <w:r>
        <w:rPr>
          <w:color w:val="1A1A1A"/>
        </w:rPr>
        <w:t>user.mail</w:t>
      </w:r>
      <w:proofErr w:type="spellEnd"/>
      <w:proofErr w:type="gramEnd"/>
      <w:r>
        <w:rPr>
          <w:color w:val="1A1A1A"/>
        </w:rPr>
        <w:t xml:space="preserve"> for Option A.</w:t>
      </w:r>
    </w:p>
    <w:p w14:paraId="6F186328" w14:textId="77777777" w:rsidR="00F854A1" w:rsidRDefault="00000000">
      <w:pPr>
        <w:pStyle w:val="ListParagraph"/>
        <w:numPr>
          <w:ilvl w:val="0"/>
          <w:numId w:val="7"/>
        </w:numPr>
        <w:spacing w:before="40" w:after="60" w:line="264" w:lineRule="auto"/>
      </w:pPr>
      <w:r>
        <w:rPr>
          <w:color w:val="1A1A1A"/>
        </w:rPr>
        <w:t>Select Save.</w:t>
      </w:r>
    </w:p>
    <w:p w14:paraId="15A0EAF2" w14:textId="77777777" w:rsidR="00F854A1" w:rsidRDefault="00F854A1">
      <w:pPr>
        <w:spacing w:after="100"/>
      </w:pPr>
    </w:p>
    <w:p w14:paraId="596211AA" w14:textId="77777777" w:rsidR="00F854A1" w:rsidRDefault="00000000">
      <w:pPr>
        <w:spacing w:before="60" w:after="120" w:line="264" w:lineRule="auto"/>
      </w:pPr>
      <w:r>
        <w:rPr>
          <w:color w:val="1A1A1A"/>
        </w:rPr>
        <w:t xml:space="preserve">No group claims are needed. </w:t>
      </w:r>
      <w:proofErr w:type="spellStart"/>
      <w:r>
        <w:rPr>
          <w:color w:val="1A1A1A"/>
        </w:rPr>
        <w:t>Authorisation</w:t>
      </w:r>
      <w:proofErr w:type="spellEnd"/>
      <w:r>
        <w:rPr>
          <w:color w:val="1A1A1A"/>
        </w:rPr>
        <w:t xml:space="preserve"> in the domain is driven by the groups SCIM provisions in Part B, not by groups carried in the assertion.</w:t>
      </w:r>
    </w:p>
    <w:p w14:paraId="224C991A" w14:textId="77777777" w:rsidR="00F854A1" w:rsidRDefault="00000000">
      <w:pPr>
        <w:pStyle w:val="Heading2"/>
        <w:spacing w:before="240" w:after="100"/>
      </w:pPr>
      <w:r>
        <w:rPr>
          <w:b/>
          <w:bCs/>
          <w:color w:val="1F3864"/>
          <w:sz w:val="24"/>
          <w:szCs w:val="24"/>
        </w:rPr>
        <w:t>A5. Register and activate Entra as an identity provider in the domain</w:t>
      </w:r>
    </w:p>
    <w:p w14:paraId="6F9A34F6" w14:textId="77777777" w:rsidR="00F854A1" w:rsidRDefault="00000000">
      <w:pPr>
        <w:pStyle w:val="ListParagraph"/>
        <w:numPr>
          <w:ilvl w:val="0"/>
          <w:numId w:val="8"/>
        </w:numPr>
        <w:spacing w:before="40" w:after="60" w:line="264" w:lineRule="auto"/>
      </w:pPr>
      <w:r>
        <w:rPr>
          <w:color w:val="1A1A1A"/>
        </w:rPr>
        <w:t>In the OCI Console, open ERP@fa-icfdjb-msb7c → Federation → Identity providers.</w:t>
      </w:r>
    </w:p>
    <w:p w14:paraId="09EEBC41" w14:textId="77777777" w:rsidR="00F854A1" w:rsidRDefault="00000000">
      <w:pPr>
        <w:pStyle w:val="ListParagraph"/>
        <w:numPr>
          <w:ilvl w:val="0"/>
          <w:numId w:val="8"/>
        </w:numPr>
        <w:spacing w:before="40" w:after="60" w:line="264" w:lineRule="auto"/>
      </w:pPr>
      <w:r>
        <w:rPr>
          <w:color w:val="1A1A1A"/>
        </w:rPr>
        <w:t>Select Add IdP, then Add SAML IdP.</w:t>
      </w:r>
    </w:p>
    <w:p w14:paraId="26B8B8E5" w14:textId="77777777" w:rsidR="00F854A1" w:rsidRDefault="00000000">
      <w:pPr>
        <w:pStyle w:val="ListParagraph"/>
        <w:numPr>
          <w:ilvl w:val="0"/>
          <w:numId w:val="8"/>
        </w:numPr>
        <w:spacing w:before="40" w:after="60" w:line="264" w:lineRule="auto"/>
      </w:pPr>
      <w:r>
        <w:rPr>
          <w:color w:val="1A1A1A"/>
        </w:rPr>
        <w:lastRenderedPageBreak/>
        <w:t>Enter a name for the identity provider, for example Entra ID, and select Next.</w:t>
      </w:r>
    </w:p>
    <w:p w14:paraId="1799F446" w14:textId="77777777" w:rsidR="00F854A1" w:rsidRDefault="00000000">
      <w:pPr>
        <w:pStyle w:val="ListParagraph"/>
        <w:numPr>
          <w:ilvl w:val="0"/>
          <w:numId w:val="8"/>
        </w:numPr>
        <w:spacing w:before="40" w:after="60" w:line="264" w:lineRule="auto"/>
      </w:pPr>
      <w:r>
        <w:rPr>
          <w:color w:val="1A1A1A"/>
        </w:rPr>
        <w:t>Keep Import identity provider metadata selected and upload the Federation Metadata XML downloaded in Step A3. Select Next.</w:t>
      </w:r>
    </w:p>
    <w:p w14:paraId="083CD50F" w14:textId="77777777" w:rsidR="00F854A1" w:rsidRDefault="00000000">
      <w:pPr>
        <w:pStyle w:val="ListParagraph"/>
        <w:numPr>
          <w:ilvl w:val="0"/>
          <w:numId w:val="8"/>
        </w:numPr>
        <w:spacing w:before="40" w:after="60" w:line="264" w:lineRule="auto"/>
      </w:pPr>
      <w:r>
        <w:rPr>
          <w:color w:val="1A1A1A"/>
        </w:rPr>
        <w:t xml:space="preserve">Under Map user identity, set Requested </w:t>
      </w:r>
      <w:proofErr w:type="spellStart"/>
      <w:r>
        <w:rPr>
          <w:color w:val="1A1A1A"/>
        </w:rPr>
        <w:t>NameID</w:t>
      </w:r>
      <w:proofErr w:type="spellEnd"/>
      <w:r>
        <w:rPr>
          <w:color w:val="1A1A1A"/>
        </w:rPr>
        <w:t xml:space="preserve"> format to </w:t>
      </w:r>
      <w:proofErr w:type="gramStart"/>
      <w:r>
        <w:rPr>
          <w:color w:val="1A1A1A"/>
        </w:rPr>
        <w:t>Email</w:t>
      </w:r>
      <w:proofErr w:type="gramEnd"/>
      <w:r>
        <w:rPr>
          <w:color w:val="1A1A1A"/>
        </w:rPr>
        <w:t xml:space="preserve"> address and Identity provider user attribute to SAML assertion Name ID. Set Identity domain user attribute to </w:t>
      </w:r>
      <w:proofErr w:type="gramStart"/>
      <w:r>
        <w:rPr>
          <w:color w:val="1A1A1A"/>
        </w:rPr>
        <w:t>User name</w:t>
      </w:r>
      <w:proofErr w:type="gramEnd"/>
      <w:r>
        <w:rPr>
          <w:color w:val="1A1A1A"/>
        </w:rPr>
        <w:t xml:space="preserve"> for Option B, or Primary email address for Option A. Select Next.</w:t>
      </w:r>
    </w:p>
    <w:p w14:paraId="20C659B2" w14:textId="77777777" w:rsidR="00F854A1" w:rsidRDefault="00000000">
      <w:pPr>
        <w:pStyle w:val="ListParagraph"/>
        <w:numPr>
          <w:ilvl w:val="0"/>
          <w:numId w:val="8"/>
        </w:numPr>
        <w:spacing w:before="40" w:after="60" w:line="264" w:lineRule="auto"/>
      </w:pPr>
      <w:r>
        <w:rPr>
          <w:color w:val="1A1A1A"/>
        </w:rPr>
        <w:t>Review the configuration and select Create IdP.</w:t>
      </w:r>
    </w:p>
    <w:p w14:paraId="746BD2CF" w14:textId="77777777" w:rsidR="00F854A1" w:rsidRDefault="00000000">
      <w:pPr>
        <w:pStyle w:val="ListParagraph"/>
        <w:numPr>
          <w:ilvl w:val="0"/>
          <w:numId w:val="8"/>
        </w:numPr>
        <w:spacing w:before="40" w:after="60" w:line="264" w:lineRule="auto"/>
      </w:pPr>
      <w:r>
        <w:rPr>
          <w:color w:val="1A1A1A"/>
        </w:rPr>
        <w:t>Select Activate.</w:t>
      </w:r>
    </w:p>
    <w:p w14:paraId="67834489" w14:textId="77777777" w:rsidR="00F854A1" w:rsidRDefault="00F854A1">
      <w:pPr>
        <w:spacing w:after="100"/>
      </w:pPr>
    </w:p>
    <w:p w14:paraId="31E926FE" w14:textId="77777777" w:rsidR="00F854A1" w:rsidRDefault="00000000">
      <w:pPr>
        <w:spacing w:before="60" w:after="120" w:line="264" w:lineRule="auto"/>
      </w:pPr>
      <w:r>
        <w:rPr>
          <w:color w:val="1A1A1A"/>
        </w:rPr>
        <w:t>At this point Entra is a working identity provider in the domain, but no sign-in page offers it, so no user is affected.</w:t>
      </w:r>
    </w:p>
    <w:p w14:paraId="5889B557" w14:textId="77777777" w:rsidR="00F854A1" w:rsidRDefault="00000000">
      <w:pPr>
        <w:pStyle w:val="Heading2"/>
        <w:spacing w:before="240" w:after="100"/>
      </w:pPr>
      <w:r>
        <w:rPr>
          <w:b/>
          <w:bCs/>
          <w:color w:val="1F3864"/>
          <w:sz w:val="24"/>
          <w:szCs w:val="24"/>
        </w:rPr>
        <w:t>A6. Offer Entra at sign-in</w:t>
      </w:r>
    </w:p>
    <w:p w14:paraId="35FEA6FE" w14:textId="77777777" w:rsidR="00F854A1" w:rsidRDefault="00000000">
      <w:pPr>
        <w:pStyle w:val="ListParagraph"/>
        <w:numPr>
          <w:ilvl w:val="0"/>
          <w:numId w:val="9"/>
        </w:numPr>
        <w:spacing w:before="40" w:after="60" w:line="264" w:lineRule="auto"/>
      </w:pPr>
      <w:r>
        <w:rPr>
          <w:color w:val="1A1A1A"/>
        </w:rPr>
        <w:t>Open ERP@fa-icfdjb-msb7c → Federation → Identity provider policies and open the Default Identity Provider Policy.</w:t>
      </w:r>
    </w:p>
    <w:p w14:paraId="055936B1" w14:textId="77777777" w:rsidR="00F854A1" w:rsidRDefault="00000000">
      <w:pPr>
        <w:pStyle w:val="ListParagraph"/>
        <w:numPr>
          <w:ilvl w:val="0"/>
          <w:numId w:val="9"/>
        </w:numPr>
        <w:spacing w:before="40" w:after="60" w:line="264" w:lineRule="auto"/>
      </w:pPr>
      <w:r>
        <w:rPr>
          <w:color w:val="1A1A1A"/>
        </w:rPr>
        <w:t>From the Actions menu of its rule, select Edit IdP rule.</w:t>
      </w:r>
    </w:p>
    <w:p w14:paraId="4A93E4AA" w14:textId="77777777" w:rsidR="00F854A1" w:rsidRDefault="00000000">
      <w:pPr>
        <w:pStyle w:val="ListParagraph"/>
        <w:numPr>
          <w:ilvl w:val="0"/>
          <w:numId w:val="9"/>
        </w:numPr>
        <w:spacing w:before="40" w:after="60" w:line="264" w:lineRule="auto"/>
      </w:pPr>
      <w:r>
        <w:rPr>
          <w:color w:val="1A1A1A"/>
        </w:rPr>
        <w:t>Under Assign identity providers, add the Entra identity provider created in Step A5 to the list, keeping Username-Password in place.</w:t>
      </w:r>
    </w:p>
    <w:p w14:paraId="26B828B9" w14:textId="77777777" w:rsidR="00F854A1" w:rsidRDefault="00000000">
      <w:pPr>
        <w:pStyle w:val="ListParagraph"/>
        <w:numPr>
          <w:ilvl w:val="0"/>
          <w:numId w:val="9"/>
        </w:numPr>
        <w:spacing w:before="40" w:after="60" w:line="264" w:lineRule="auto"/>
      </w:pPr>
      <w:r>
        <w:rPr>
          <w:color w:val="1A1A1A"/>
        </w:rPr>
        <w:t>Select Save changes.</w:t>
      </w:r>
    </w:p>
    <w:p w14:paraId="01FF0851" w14:textId="77777777" w:rsidR="00F854A1" w:rsidRDefault="00F854A1">
      <w:pPr>
        <w:spacing w:after="100"/>
      </w:pPr>
    </w:p>
    <w:tbl>
      <w:tblPr>
        <w:tblW w:w="10080" w:type="dxa"/>
        <w:tblBorders>
          <w:top w:val="single" w:sz="2" w:space="0" w:color="E3C9C3"/>
          <w:left w:val="single" w:sz="18" w:space="0" w:color="C74634"/>
          <w:bottom w:val="single" w:sz="2" w:space="0" w:color="E3C9C3"/>
          <w:right w:val="single" w:sz="2" w:space="0" w:color="E3C9C3"/>
        </w:tblBorders>
        <w:tblCellMar>
          <w:left w:w="10" w:type="dxa"/>
          <w:right w:w="10" w:type="dxa"/>
        </w:tblCellMar>
        <w:tblLook w:val="0000" w:firstRow="0" w:lastRow="0" w:firstColumn="0" w:lastColumn="0" w:noHBand="0" w:noVBand="0"/>
      </w:tblPr>
      <w:tblGrid>
        <w:gridCol w:w="10080"/>
      </w:tblGrid>
      <w:tr w:rsidR="00F854A1" w14:paraId="4FA7E725" w14:textId="77777777">
        <w:tblPrEx>
          <w:tblCellMar>
            <w:top w:w="0" w:type="dxa"/>
            <w:bottom w:w="0" w:type="dxa"/>
          </w:tblCellMar>
        </w:tblPrEx>
        <w:tc>
          <w:tcPr>
            <w:tcW w:w="10080" w:type="dxa"/>
            <w:shd w:val="clear" w:color="auto" w:fill="FBF4F2"/>
            <w:tcMar>
              <w:top w:w="100" w:type="dxa"/>
              <w:left w:w="160" w:type="dxa"/>
              <w:bottom w:w="100" w:type="dxa"/>
              <w:right w:w="160" w:type="dxa"/>
            </w:tcMar>
          </w:tcPr>
          <w:p w14:paraId="2FEECD5D" w14:textId="77777777" w:rsidR="00F854A1" w:rsidRDefault="00000000">
            <w:pPr>
              <w:spacing w:after="40"/>
            </w:pPr>
            <w:r>
              <w:rPr>
                <w:b/>
                <w:bCs/>
                <w:color w:val="C74634"/>
                <w:sz w:val="18"/>
                <w:szCs w:val="18"/>
              </w:rPr>
              <w:t>Keep Username-Password in the rule</w:t>
            </w:r>
          </w:p>
          <w:p w14:paraId="77493CA1" w14:textId="0400775C" w:rsidR="00F854A1" w:rsidRDefault="00000000">
            <w:pPr>
              <w:spacing w:line="264" w:lineRule="auto"/>
            </w:pPr>
            <w:r>
              <w:rPr>
                <w:color w:val="1A1A1A"/>
                <w:sz w:val="20"/>
                <w:szCs w:val="20"/>
              </w:rPr>
              <w:t xml:space="preserve">Six of the eight accounts in this domain are local service and administrative accounts with no Entra identity. Removing Username-Password from the default rule would leave them no way to sign in. When the username-first procedure is applied to this domain, the default rule is replaced by explicit routing:  </w:t>
            </w:r>
            <w:proofErr w:type="gramStart"/>
            <w:r>
              <w:rPr>
                <w:color w:val="1A1A1A"/>
                <w:sz w:val="20"/>
                <w:szCs w:val="20"/>
              </w:rPr>
              <w:t>user names</w:t>
            </w:r>
            <w:proofErr w:type="gramEnd"/>
            <w:r>
              <w:rPr>
                <w:color w:val="1A1A1A"/>
                <w:sz w:val="20"/>
                <w:szCs w:val="20"/>
              </w:rPr>
              <w:t xml:space="preserve"> to Entra, everything else to the local path.</w:t>
            </w:r>
          </w:p>
        </w:tc>
      </w:tr>
    </w:tbl>
    <w:p w14:paraId="775B5D9D" w14:textId="77777777" w:rsidR="00F854A1" w:rsidRDefault="00000000">
      <w:pPr>
        <w:pStyle w:val="Heading2"/>
        <w:spacing w:before="240" w:after="100"/>
      </w:pPr>
      <w:r>
        <w:rPr>
          <w:b/>
          <w:bCs/>
          <w:color w:val="1F3864"/>
          <w:sz w:val="24"/>
          <w:szCs w:val="24"/>
        </w:rPr>
        <w:t>A7. Test single sign-on</w:t>
      </w:r>
    </w:p>
    <w:p w14:paraId="072354D0" w14:textId="77777777" w:rsidR="00F854A1" w:rsidRDefault="00000000">
      <w:pPr>
        <w:spacing w:before="60" w:after="120" w:line="264" w:lineRule="auto"/>
      </w:pPr>
      <w:r>
        <w:rPr>
          <w:color w:val="1A1A1A"/>
        </w:rPr>
        <w:t xml:space="preserve">The pilot user must exist in the domain and be assigned to the Entra application. If Part B has not yet run, assign the pilot user in Entra under Users and groups → Add user/group, confirm the account already exists in the domain under the matching </w:t>
      </w:r>
      <w:proofErr w:type="gramStart"/>
      <w:r>
        <w:rPr>
          <w:color w:val="1A1A1A"/>
        </w:rPr>
        <w:t>user name</w:t>
      </w:r>
      <w:proofErr w:type="gramEnd"/>
      <w:r>
        <w:rPr>
          <w:color w:val="1A1A1A"/>
        </w:rPr>
        <w:t>, and then test.</w:t>
      </w:r>
    </w:p>
    <w:p w14:paraId="71795DF1" w14:textId="77777777" w:rsidR="00F854A1" w:rsidRDefault="00000000">
      <w:pPr>
        <w:pStyle w:val="ListParagraph"/>
        <w:numPr>
          <w:ilvl w:val="0"/>
          <w:numId w:val="10"/>
        </w:numPr>
        <w:spacing w:before="40" w:after="60" w:line="264" w:lineRule="auto"/>
      </w:pPr>
      <w:r>
        <w:rPr>
          <w:color w:val="1A1A1A"/>
        </w:rPr>
        <w:t>In a private browser window, open the production Fusion URL.</w:t>
      </w:r>
    </w:p>
    <w:p w14:paraId="5815D119" w14:textId="77777777" w:rsidR="00F854A1" w:rsidRDefault="00000000">
      <w:pPr>
        <w:pStyle w:val="ListParagraph"/>
        <w:numPr>
          <w:ilvl w:val="0"/>
          <w:numId w:val="10"/>
        </w:numPr>
        <w:spacing w:before="40" w:after="60" w:line="264" w:lineRule="auto"/>
      </w:pPr>
      <w:r>
        <w:rPr>
          <w:color w:val="1A1A1A"/>
        </w:rPr>
        <w:t>On the sign-in page, choose the Entra option. The browser is redirected to Microsoft sign-in.</w:t>
      </w:r>
    </w:p>
    <w:p w14:paraId="5803914F" w14:textId="77777777" w:rsidR="00F854A1" w:rsidRDefault="00000000">
      <w:pPr>
        <w:pStyle w:val="ListParagraph"/>
        <w:numPr>
          <w:ilvl w:val="0"/>
          <w:numId w:val="10"/>
        </w:numPr>
        <w:spacing w:before="40" w:after="60" w:line="264" w:lineRule="auto"/>
      </w:pPr>
      <w:r>
        <w:rPr>
          <w:color w:val="1A1A1A"/>
        </w:rPr>
        <w:t>Sign in as the pilot user and complete any multi-factor prompt required by conditional access.</w:t>
      </w:r>
    </w:p>
    <w:p w14:paraId="1BEA6CC0" w14:textId="77777777" w:rsidR="00F854A1" w:rsidRDefault="00000000">
      <w:pPr>
        <w:pStyle w:val="ListParagraph"/>
        <w:numPr>
          <w:ilvl w:val="0"/>
          <w:numId w:val="10"/>
        </w:numPr>
        <w:spacing w:before="40" w:after="60" w:line="264" w:lineRule="auto"/>
      </w:pPr>
      <w:r>
        <w:rPr>
          <w:color w:val="1A1A1A"/>
        </w:rPr>
        <w:t>Confirm the user lands in Fusion with the expected roles.</w:t>
      </w:r>
    </w:p>
    <w:p w14:paraId="0B5ACE8E" w14:textId="77777777" w:rsidR="00F854A1" w:rsidRDefault="00000000">
      <w:pPr>
        <w:pStyle w:val="ListParagraph"/>
        <w:numPr>
          <w:ilvl w:val="0"/>
          <w:numId w:val="10"/>
        </w:numPr>
        <w:spacing w:before="40" w:after="60" w:line="264" w:lineRule="auto"/>
      </w:pPr>
      <w:r>
        <w:rPr>
          <w:color w:val="1A1A1A"/>
        </w:rPr>
        <w:t>Repeat as an Entra user who is not assigned to the application. Entra refuses the sign-in with error AADSTS50105, stating that the application requires assignment. That refusal is the correct result.</w:t>
      </w:r>
    </w:p>
    <w:p w14:paraId="35B2D808" w14:textId="77777777" w:rsidR="00F854A1" w:rsidRDefault="00000000">
      <w:r>
        <w:br w:type="page"/>
      </w:r>
    </w:p>
    <w:p w14:paraId="29167875" w14:textId="77777777" w:rsidR="00F854A1" w:rsidRDefault="00000000">
      <w:pPr>
        <w:pStyle w:val="Heading1"/>
        <w:pBdr>
          <w:bottom w:val="single" w:sz="10" w:space="4" w:color="C74634"/>
        </w:pBdr>
        <w:spacing w:before="320" w:after="140"/>
      </w:pPr>
      <w:r>
        <w:rPr>
          <w:b/>
          <w:bCs/>
          <w:color w:val="1F3864"/>
          <w:sz w:val="28"/>
          <w:szCs w:val="28"/>
        </w:rPr>
        <w:lastRenderedPageBreak/>
        <w:t>Part B — SCIM provisioning from Entra</w:t>
      </w:r>
    </w:p>
    <w:p w14:paraId="5E17FA44" w14:textId="77777777" w:rsidR="00F854A1" w:rsidRDefault="00000000">
      <w:pPr>
        <w:spacing w:before="60" w:after="120" w:line="264" w:lineRule="auto"/>
      </w:pPr>
      <w:r>
        <w:rPr>
          <w:color w:val="1A1A1A"/>
        </w:rPr>
        <w:t>Provisioning is configured on the same Entra application built in Part A. It is set up completely — connection, attribute mappings and scope — before the first cycle runs, so that the very first write into the production domain already carries the correct federated and notification settings.</w:t>
      </w:r>
    </w:p>
    <w:p w14:paraId="58E8F3C5" w14:textId="77777777" w:rsidR="00F854A1" w:rsidRDefault="00000000">
      <w:pPr>
        <w:pStyle w:val="Heading2"/>
        <w:spacing w:before="240" w:after="100"/>
      </w:pPr>
      <w:r>
        <w:rPr>
          <w:b/>
          <w:bCs/>
          <w:color w:val="1F3864"/>
          <w:sz w:val="24"/>
          <w:szCs w:val="24"/>
        </w:rPr>
        <w:t>B1. Create a confidential application in the domain</w:t>
      </w:r>
    </w:p>
    <w:p w14:paraId="7BDCAA13" w14:textId="77777777" w:rsidR="00F854A1" w:rsidRDefault="00000000">
      <w:pPr>
        <w:spacing w:before="60" w:after="120" w:line="264" w:lineRule="auto"/>
      </w:pPr>
      <w:r>
        <w:rPr>
          <w:color w:val="1A1A1A"/>
        </w:rPr>
        <w:t>Entra needs a credential it can use to call the domain's SCIM interface. A confidential application holding the User Administrator role provides it, and limits Entra to user and group management rather than full domain administration.</w:t>
      </w:r>
    </w:p>
    <w:p w14:paraId="5B758F1D" w14:textId="77777777" w:rsidR="00F854A1" w:rsidRDefault="00000000">
      <w:pPr>
        <w:pStyle w:val="ListParagraph"/>
        <w:numPr>
          <w:ilvl w:val="0"/>
          <w:numId w:val="11"/>
        </w:numPr>
        <w:spacing w:before="40" w:after="60" w:line="264" w:lineRule="auto"/>
      </w:pPr>
      <w:r>
        <w:rPr>
          <w:color w:val="1A1A1A"/>
        </w:rPr>
        <w:t>In the OCI Console, open ERP@fa-icfdjb-msb7c → Integrated applications and select Add application.</w:t>
      </w:r>
    </w:p>
    <w:p w14:paraId="4800413F" w14:textId="77777777" w:rsidR="00F854A1" w:rsidRDefault="00000000">
      <w:pPr>
        <w:pStyle w:val="ListParagraph"/>
        <w:numPr>
          <w:ilvl w:val="0"/>
          <w:numId w:val="11"/>
        </w:numPr>
        <w:spacing w:before="40" w:after="60" w:line="264" w:lineRule="auto"/>
      </w:pPr>
      <w:r>
        <w:rPr>
          <w:color w:val="1A1A1A"/>
        </w:rPr>
        <w:t>Choose Confidential Application and select Launch workflow.</w:t>
      </w:r>
    </w:p>
    <w:p w14:paraId="4CD3F570" w14:textId="77777777" w:rsidR="00F854A1" w:rsidRDefault="00000000">
      <w:pPr>
        <w:pStyle w:val="ListParagraph"/>
        <w:numPr>
          <w:ilvl w:val="0"/>
          <w:numId w:val="11"/>
        </w:numPr>
        <w:spacing w:before="40" w:after="60" w:line="264" w:lineRule="auto"/>
      </w:pPr>
      <w:r>
        <w:rPr>
          <w:color w:val="1A1A1A"/>
        </w:rPr>
        <w:t xml:space="preserve">Enter a name that identifies the application as the Entra provisioning </w:t>
      </w:r>
      <w:proofErr w:type="gramStart"/>
      <w:r>
        <w:rPr>
          <w:color w:val="1A1A1A"/>
        </w:rPr>
        <w:t>client, and</w:t>
      </w:r>
      <w:proofErr w:type="gramEnd"/>
      <w:r>
        <w:rPr>
          <w:color w:val="1A1A1A"/>
        </w:rPr>
        <w:t xml:space="preserve"> select Next.</w:t>
      </w:r>
    </w:p>
    <w:p w14:paraId="7A7BA493" w14:textId="77777777" w:rsidR="00F854A1" w:rsidRDefault="00000000">
      <w:pPr>
        <w:pStyle w:val="ListParagraph"/>
        <w:numPr>
          <w:ilvl w:val="0"/>
          <w:numId w:val="11"/>
        </w:numPr>
        <w:spacing w:before="40" w:after="60" w:line="264" w:lineRule="auto"/>
      </w:pPr>
      <w:r>
        <w:rPr>
          <w:color w:val="1A1A1A"/>
        </w:rPr>
        <w:t>Under Client configuration, select Configure this application as a client now.</w:t>
      </w:r>
    </w:p>
    <w:p w14:paraId="746581E7" w14:textId="77777777" w:rsidR="00F854A1" w:rsidRDefault="00000000">
      <w:pPr>
        <w:pStyle w:val="ListParagraph"/>
        <w:numPr>
          <w:ilvl w:val="0"/>
          <w:numId w:val="11"/>
        </w:numPr>
        <w:spacing w:before="40" w:after="60" w:line="264" w:lineRule="auto"/>
      </w:pPr>
      <w:r>
        <w:rPr>
          <w:color w:val="1A1A1A"/>
        </w:rPr>
        <w:t>Under Authorization, select Client credentials.</w:t>
      </w:r>
    </w:p>
    <w:p w14:paraId="75356756" w14:textId="77777777" w:rsidR="00F854A1" w:rsidRDefault="00000000">
      <w:pPr>
        <w:pStyle w:val="ListParagraph"/>
        <w:numPr>
          <w:ilvl w:val="0"/>
          <w:numId w:val="11"/>
        </w:numPr>
        <w:spacing w:before="40" w:after="60" w:line="264" w:lineRule="auto"/>
      </w:pPr>
      <w:r>
        <w:rPr>
          <w:color w:val="1A1A1A"/>
        </w:rPr>
        <w:t>Under Client type, select Confidential.</w:t>
      </w:r>
    </w:p>
    <w:p w14:paraId="1CCA4827" w14:textId="77777777" w:rsidR="00F854A1" w:rsidRDefault="00000000">
      <w:pPr>
        <w:pStyle w:val="ListParagraph"/>
        <w:numPr>
          <w:ilvl w:val="0"/>
          <w:numId w:val="11"/>
        </w:numPr>
        <w:spacing w:before="40" w:after="60" w:line="264" w:lineRule="auto"/>
      </w:pPr>
      <w:r>
        <w:rPr>
          <w:color w:val="1A1A1A"/>
        </w:rPr>
        <w:t>In Token issuance policy, set Authorized resources to Specific.</w:t>
      </w:r>
    </w:p>
    <w:p w14:paraId="173EC807" w14:textId="77777777" w:rsidR="00F854A1" w:rsidRDefault="00000000">
      <w:pPr>
        <w:pStyle w:val="ListParagraph"/>
        <w:numPr>
          <w:ilvl w:val="0"/>
          <w:numId w:val="11"/>
        </w:numPr>
        <w:spacing w:before="40" w:after="60" w:line="264" w:lineRule="auto"/>
      </w:pPr>
      <w:r>
        <w:rPr>
          <w:color w:val="1A1A1A"/>
        </w:rPr>
        <w:t>Select Add app roles, then Add roles, choose User Administrator, and select Add.</w:t>
      </w:r>
    </w:p>
    <w:p w14:paraId="5E8C6F6F" w14:textId="77777777" w:rsidR="00F854A1" w:rsidRDefault="00000000">
      <w:pPr>
        <w:pStyle w:val="ListParagraph"/>
        <w:numPr>
          <w:ilvl w:val="0"/>
          <w:numId w:val="11"/>
        </w:numPr>
        <w:spacing w:before="40" w:after="60" w:line="264" w:lineRule="auto"/>
      </w:pPr>
      <w:r>
        <w:rPr>
          <w:color w:val="1A1A1A"/>
        </w:rPr>
        <w:t>Select Next, then Finish.</w:t>
      </w:r>
    </w:p>
    <w:p w14:paraId="4C9BECAF" w14:textId="77777777" w:rsidR="00F854A1" w:rsidRDefault="00000000">
      <w:pPr>
        <w:pStyle w:val="ListParagraph"/>
        <w:numPr>
          <w:ilvl w:val="0"/>
          <w:numId w:val="11"/>
        </w:numPr>
        <w:spacing w:before="40" w:after="60" w:line="264" w:lineRule="auto"/>
      </w:pPr>
      <w:r>
        <w:rPr>
          <w:color w:val="1A1A1A"/>
        </w:rPr>
        <w:t>On the application overview page, select Activate and confirm.</w:t>
      </w:r>
    </w:p>
    <w:p w14:paraId="14D3DCFA" w14:textId="77777777" w:rsidR="00F854A1" w:rsidRDefault="00000000">
      <w:pPr>
        <w:pStyle w:val="Heading2"/>
        <w:spacing w:before="240" w:after="100"/>
      </w:pPr>
      <w:r>
        <w:rPr>
          <w:b/>
          <w:bCs/>
          <w:color w:val="1F3864"/>
          <w:sz w:val="24"/>
          <w:szCs w:val="24"/>
        </w:rPr>
        <w:t>B2. Generate the secret token</w:t>
      </w:r>
    </w:p>
    <w:p w14:paraId="1ED12FC6" w14:textId="77777777" w:rsidR="00F854A1" w:rsidRDefault="00000000">
      <w:pPr>
        <w:pStyle w:val="ListParagraph"/>
        <w:numPr>
          <w:ilvl w:val="0"/>
          <w:numId w:val="12"/>
        </w:numPr>
        <w:spacing w:before="40" w:after="60" w:line="264" w:lineRule="auto"/>
      </w:pPr>
      <w:r>
        <w:rPr>
          <w:color w:val="1A1A1A"/>
        </w:rPr>
        <w:t>Copy the Domain URL from the domain overview, if it is not already recorded from Step A1.</w:t>
      </w:r>
    </w:p>
    <w:p w14:paraId="5A22874F" w14:textId="77777777" w:rsidR="00F854A1" w:rsidRDefault="00000000">
      <w:pPr>
        <w:pStyle w:val="ListParagraph"/>
        <w:numPr>
          <w:ilvl w:val="0"/>
          <w:numId w:val="12"/>
        </w:numPr>
        <w:spacing w:before="40" w:after="60" w:line="264" w:lineRule="auto"/>
      </w:pPr>
      <w:r>
        <w:rPr>
          <w:color w:val="1A1A1A"/>
        </w:rPr>
        <w:t>In the confidential application, open OAuth configuration and, under General information, copy the Client ID. Select Show secret and copy the Client secret.</w:t>
      </w:r>
    </w:p>
    <w:p w14:paraId="79ADCD5E" w14:textId="77777777" w:rsidR="00F854A1" w:rsidRDefault="00000000">
      <w:pPr>
        <w:pStyle w:val="ListParagraph"/>
        <w:numPr>
          <w:ilvl w:val="0"/>
          <w:numId w:val="12"/>
        </w:numPr>
        <w:spacing w:before="40" w:after="60" w:line="264" w:lineRule="auto"/>
      </w:pPr>
      <w:r>
        <w:rPr>
          <w:color w:val="1A1A1A"/>
        </w:rPr>
        <w:t>Open Cloud Shell from the OCI Console and generate the token, which is the base64 encoding of the client ID and secret joined by a colon:</w:t>
      </w:r>
    </w:p>
    <w:p w14:paraId="1BAC9007" w14:textId="77777777" w:rsidR="00F854A1" w:rsidRDefault="00F854A1">
      <w:pPr>
        <w:spacing w:after="100"/>
      </w:pPr>
    </w:p>
    <w:p w14:paraId="461E2034" w14:textId="77777777" w:rsidR="00F854A1" w:rsidRDefault="00000000">
      <w:pPr>
        <w:shd w:val="clear" w:color="auto" w:fill="F4F4F4"/>
        <w:spacing w:before="60" w:after="60"/>
        <w:ind w:left="180" w:right="180"/>
      </w:pPr>
      <w:r>
        <w:rPr>
          <w:rFonts w:ascii="Consolas" w:eastAsia="Consolas" w:hAnsi="Consolas" w:cs="Consolas"/>
          <w:color w:val="222222"/>
          <w:sz w:val="18"/>
          <w:szCs w:val="18"/>
        </w:rPr>
        <w:t>echo -n &lt;client-id&gt;:&lt;client-secret&gt; | base64 --wrap=0</w:t>
      </w:r>
    </w:p>
    <w:p w14:paraId="0CC6458F" w14:textId="77777777" w:rsidR="00F854A1" w:rsidRDefault="00F854A1">
      <w:pPr>
        <w:spacing w:after="100"/>
      </w:pPr>
    </w:p>
    <w:p w14:paraId="2D672A2F" w14:textId="77777777" w:rsidR="00F854A1" w:rsidRDefault="00000000">
      <w:pPr>
        <w:pStyle w:val="ListParagraph"/>
        <w:numPr>
          <w:ilvl w:val="0"/>
          <w:numId w:val="12"/>
        </w:numPr>
        <w:spacing w:before="40" w:after="60" w:line="264" w:lineRule="auto"/>
      </w:pPr>
      <w:r>
        <w:rPr>
          <w:color w:val="1A1A1A"/>
        </w:rPr>
        <w:t>Copy the returned value. This is the secret token Entra uses.</w:t>
      </w:r>
    </w:p>
    <w:p w14:paraId="69CA1F7E" w14:textId="77777777" w:rsidR="00F854A1" w:rsidRDefault="00000000">
      <w:pPr>
        <w:pStyle w:val="ListParagraph"/>
        <w:numPr>
          <w:ilvl w:val="0"/>
          <w:numId w:val="12"/>
        </w:numPr>
        <w:spacing w:before="40" w:after="60" w:line="264" w:lineRule="auto"/>
      </w:pPr>
      <w:r>
        <w:rPr>
          <w:color w:val="1A1A1A"/>
        </w:rPr>
        <w:t>Clear the command from Cloud Shell history with history -c, since it contains the client secret in plain text.</w:t>
      </w:r>
    </w:p>
    <w:p w14:paraId="0A271D7D" w14:textId="77777777" w:rsidR="00F854A1" w:rsidRDefault="00000000">
      <w:pPr>
        <w:pStyle w:val="ListParagraph"/>
        <w:numPr>
          <w:ilvl w:val="0"/>
          <w:numId w:val="12"/>
        </w:numPr>
        <w:spacing w:before="40" w:after="60" w:line="264" w:lineRule="auto"/>
      </w:pPr>
      <w:r>
        <w:rPr>
          <w:color w:val="1A1A1A"/>
        </w:rPr>
        <w:t xml:space="preserve">Store the client ID, client secret and </w:t>
      </w:r>
      <w:proofErr w:type="gramStart"/>
      <w:r>
        <w:rPr>
          <w:color w:val="1A1A1A"/>
        </w:rPr>
        <w:t>token</w:t>
      </w:r>
      <w:proofErr w:type="gramEnd"/>
      <w:r>
        <w:rPr>
          <w:color w:val="1A1A1A"/>
        </w:rPr>
        <w:t xml:space="preserve"> in the secrets store rather than in the change </w:t>
      </w:r>
      <w:proofErr w:type="gramStart"/>
      <w:r>
        <w:rPr>
          <w:color w:val="1A1A1A"/>
        </w:rPr>
        <w:t>record, and</w:t>
      </w:r>
      <w:proofErr w:type="gramEnd"/>
      <w:r>
        <w:rPr>
          <w:color w:val="1A1A1A"/>
        </w:rPr>
        <w:t xml:space="preserve"> record the secret's rotation date. When the client secret is rotated, the token in Entra must be regenerated and replaced or provisioning stops.</w:t>
      </w:r>
    </w:p>
    <w:p w14:paraId="19A2E96D" w14:textId="77777777" w:rsidR="00F854A1" w:rsidRDefault="00000000">
      <w:pPr>
        <w:pStyle w:val="Heading2"/>
        <w:spacing w:before="240" w:after="100"/>
      </w:pPr>
      <w:r>
        <w:rPr>
          <w:b/>
          <w:bCs/>
          <w:color w:val="1F3864"/>
          <w:sz w:val="24"/>
          <w:szCs w:val="24"/>
        </w:rPr>
        <w:t>B3. Connect provisioning in Entra</w:t>
      </w:r>
    </w:p>
    <w:p w14:paraId="19E1CA19" w14:textId="77777777" w:rsidR="00F854A1" w:rsidRDefault="00000000">
      <w:pPr>
        <w:pStyle w:val="ListParagraph"/>
        <w:numPr>
          <w:ilvl w:val="0"/>
          <w:numId w:val="13"/>
        </w:numPr>
        <w:spacing w:before="40" w:after="60" w:line="264" w:lineRule="auto"/>
      </w:pPr>
      <w:r>
        <w:rPr>
          <w:color w:val="1A1A1A"/>
        </w:rPr>
        <w:t>In the Entra admin center, open the enterprise application created in Step A2.</w:t>
      </w:r>
    </w:p>
    <w:p w14:paraId="0612F036" w14:textId="77777777" w:rsidR="00F854A1" w:rsidRDefault="00000000">
      <w:pPr>
        <w:pStyle w:val="ListParagraph"/>
        <w:numPr>
          <w:ilvl w:val="0"/>
          <w:numId w:val="13"/>
        </w:numPr>
        <w:spacing w:before="40" w:after="60" w:line="264" w:lineRule="auto"/>
      </w:pPr>
      <w:r>
        <w:rPr>
          <w:color w:val="1A1A1A"/>
        </w:rPr>
        <w:t>Under Manage, select Provisioning, then Get started, and set Provisioning Mode to Automatic.</w:t>
      </w:r>
    </w:p>
    <w:p w14:paraId="1F95F3E7" w14:textId="77777777" w:rsidR="00F854A1" w:rsidRDefault="00000000">
      <w:pPr>
        <w:pStyle w:val="ListParagraph"/>
        <w:numPr>
          <w:ilvl w:val="0"/>
          <w:numId w:val="13"/>
        </w:numPr>
        <w:spacing w:before="40" w:after="60" w:line="264" w:lineRule="auto"/>
      </w:pPr>
      <w:r>
        <w:rPr>
          <w:color w:val="1A1A1A"/>
        </w:rPr>
        <w:t>In Tenant URL, enter the domain URL followed by /admin/v1 — for example https://idcs-&lt;unique-id</w:t>
      </w:r>
      <w:proofErr w:type="gramStart"/>
      <w:r>
        <w:rPr>
          <w:color w:val="1A1A1A"/>
        </w:rPr>
        <w:t>&gt;.identity.oraclecloud.com</w:t>
      </w:r>
      <w:proofErr w:type="gramEnd"/>
      <w:r>
        <w:rPr>
          <w:color w:val="1A1A1A"/>
        </w:rPr>
        <w:t>/admin/v1.</w:t>
      </w:r>
    </w:p>
    <w:p w14:paraId="56BAA5CE" w14:textId="77777777" w:rsidR="00F854A1" w:rsidRDefault="00000000">
      <w:pPr>
        <w:pStyle w:val="ListParagraph"/>
        <w:numPr>
          <w:ilvl w:val="0"/>
          <w:numId w:val="13"/>
        </w:numPr>
        <w:spacing w:before="40" w:after="60" w:line="264" w:lineRule="auto"/>
      </w:pPr>
      <w:r>
        <w:rPr>
          <w:color w:val="1A1A1A"/>
        </w:rPr>
        <w:t>In Secret Token, enter the token generated in Step B2.</w:t>
      </w:r>
    </w:p>
    <w:p w14:paraId="5177B537" w14:textId="77777777" w:rsidR="00F854A1" w:rsidRDefault="00000000">
      <w:pPr>
        <w:pStyle w:val="ListParagraph"/>
        <w:numPr>
          <w:ilvl w:val="0"/>
          <w:numId w:val="13"/>
        </w:numPr>
        <w:spacing w:before="40" w:after="60" w:line="264" w:lineRule="auto"/>
      </w:pPr>
      <w:r>
        <w:rPr>
          <w:color w:val="1A1A1A"/>
        </w:rPr>
        <w:lastRenderedPageBreak/>
        <w:t xml:space="preserve">Select Test Connection. A message confirming that the supplied credentials are </w:t>
      </w:r>
      <w:proofErr w:type="spellStart"/>
      <w:r>
        <w:rPr>
          <w:color w:val="1A1A1A"/>
        </w:rPr>
        <w:t>authorised</w:t>
      </w:r>
      <w:proofErr w:type="spellEnd"/>
      <w:r>
        <w:rPr>
          <w:color w:val="1A1A1A"/>
        </w:rPr>
        <w:t xml:space="preserve"> to enable provisioning indicates success.</w:t>
      </w:r>
    </w:p>
    <w:p w14:paraId="786FCF9A" w14:textId="77777777" w:rsidR="00F854A1" w:rsidRDefault="00000000">
      <w:pPr>
        <w:pStyle w:val="ListParagraph"/>
        <w:numPr>
          <w:ilvl w:val="0"/>
          <w:numId w:val="13"/>
        </w:numPr>
        <w:spacing w:before="40" w:after="60" w:line="264" w:lineRule="auto"/>
      </w:pPr>
      <w:r>
        <w:rPr>
          <w:color w:val="1A1A1A"/>
        </w:rPr>
        <w:t>Select Save. Do not start provisioning yet.</w:t>
      </w:r>
    </w:p>
    <w:p w14:paraId="747C31DD" w14:textId="77777777" w:rsidR="00F854A1" w:rsidRDefault="00000000">
      <w:pPr>
        <w:pStyle w:val="Heading2"/>
        <w:spacing w:before="240" w:after="100"/>
      </w:pPr>
      <w:r>
        <w:rPr>
          <w:b/>
          <w:bCs/>
          <w:color w:val="1F3864"/>
          <w:sz w:val="24"/>
          <w:szCs w:val="24"/>
        </w:rPr>
        <w:t>B4. Set the attribute mappings and scope</w:t>
      </w:r>
    </w:p>
    <w:p w14:paraId="5B91F347" w14:textId="77777777" w:rsidR="00F854A1" w:rsidRDefault="00000000">
      <w:pPr>
        <w:spacing w:before="60" w:after="120" w:line="264" w:lineRule="auto"/>
      </w:pPr>
      <w:r>
        <w:rPr>
          <w:color w:val="1A1A1A"/>
        </w:rPr>
        <w:t>Two mappings are added to the user mappings before the first cycle. Both use an expression that always evaluates to true.</w:t>
      </w:r>
    </w:p>
    <w:p w14:paraId="092EDEB6" w14:textId="77777777" w:rsidR="00F854A1" w:rsidRDefault="00000000">
      <w:pPr>
        <w:pStyle w:val="ListParagraph"/>
        <w:numPr>
          <w:ilvl w:val="0"/>
          <w:numId w:val="14"/>
        </w:numPr>
        <w:spacing w:before="40" w:after="60" w:line="264" w:lineRule="auto"/>
      </w:pPr>
      <w:r>
        <w:rPr>
          <w:color w:val="1A1A1A"/>
        </w:rPr>
        <w:t>In Provisioning, select Edit Provisioning, then Mappings, then Provision Microsoft Entra ID Users.</w:t>
      </w:r>
    </w:p>
    <w:p w14:paraId="66229F84" w14:textId="77777777" w:rsidR="00F854A1" w:rsidRDefault="00000000">
      <w:pPr>
        <w:pStyle w:val="ListParagraph"/>
        <w:numPr>
          <w:ilvl w:val="0"/>
          <w:numId w:val="14"/>
        </w:numPr>
        <w:spacing w:before="40" w:after="60" w:line="264" w:lineRule="auto"/>
      </w:pPr>
      <w:r>
        <w:rPr>
          <w:color w:val="1A1A1A"/>
        </w:rPr>
        <w:t xml:space="preserve">Under Attribute Mappings, select Add New Mapping. Set Mapping type to Expression, Expression to CBool("true"), and Target attribute to </w:t>
      </w:r>
      <w:proofErr w:type="gramStart"/>
      <w:r>
        <w:rPr>
          <w:color w:val="1A1A1A"/>
        </w:rPr>
        <w:t>urn:ietf</w:t>
      </w:r>
      <w:proofErr w:type="gramEnd"/>
      <w:r>
        <w:rPr>
          <w:color w:val="1A1A1A"/>
        </w:rPr>
        <w:t>:</w:t>
      </w:r>
      <w:proofErr w:type="gramStart"/>
      <w:r>
        <w:rPr>
          <w:color w:val="1A1A1A"/>
        </w:rPr>
        <w:t>params:scim</w:t>
      </w:r>
      <w:proofErr w:type="gramEnd"/>
      <w:r>
        <w:rPr>
          <w:color w:val="1A1A1A"/>
        </w:rPr>
        <w:t>:</w:t>
      </w:r>
      <w:proofErr w:type="gramStart"/>
      <w:r>
        <w:rPr>
          <w:color w:val="1A1A1A"/>
        </w:rPr>
        <w:t>schemas:oracle</w:t>
      </w:r>
      <w:proofErr w:type="gramEnd"/>
      <w:r>
        <w:rPr>
          <w:color w:val="1A1A1A"/>
        </w:rPr>
        <w:t>:</w:t>
      </w:r>
      <w:proofErr w:type="gramStart"/>
      <w:r>
        <w:rPr>
          <w:color w:val="1A1A1A"/>
        </w:rPr>
        <w:t>idcs:extension</w:t>
      </w:r>
      <w:proofErr w:type="gramEnd"/>
      <w:r>
        <w:rPr>
          <w:color w:val="1A1A1A"/>
        </w:rPr>
        <w:t>:</w:t>
      </w:r>
      <w:proofErr w:type="gramStart"/>
      <w:r>
        <w:rPr>
          <w:color w:val="1A1A1A"/>
        </w:rPr>
        <w:t>user:User</w:t>
      </w:r>
      <w:proofErr w:type="gramEnd"/>
      <w:r>
        <w:rPr>
          <w:color w:val="1A1A1A"/>
        </w:rPr>
        <w:t>:isFederatedUser. Select Ok.</w:t>
      </w:r>
    </w:p>
    <w:p w14:paraId="594E7C05" w14:textId="77777777" w:rsidR="00F854A1" w:rsidRDefault="00000000">
      <w:pPr>
        <w:pStyle w:val="ListParagraph"/>
        <w:numPr>
          <w:ilvl w:val="0"/>
          <w:numId w:val="14"/>
        </w:numPr>
        <w:spacing w:before="40" w:after="60" w:line="264" w:lineRule="auto"/>
      </w:pPr>
      <w:r>
        <w:rPr>
          <w:color w:val="1A1A1A"/>
        </w:rPr>
        <w:t xml:space="preserve">Select Add New Mapping again. Set Mapping type to Expression, Expression to CBool("true"), and Target attribute to </w:t>
      </w:r>
      <w:proofErr w:type="gramStart"/>
      <w:r>
        <w:rPr>
          <w:color w:val="1A1A1A"/>
        </w:rPr>
        <w:t>urn:ietf</w:t>
      </w:r>
      <w:proofErr w:type="gramEnd"/>
      <w:r>
        <w:rPr>
          <w:color w:val="1A1A1A"/>
        </w:rPr>
        <w:t>:</w:t>
      </w:r>
      <w:proofErr w:type="gramStart"/>
      <w:r>
        <w:rPr>
          <w:color w:val="1A1A1A"/>
        </w:rPr>
        <w:t>params:scim</w:t>
      </w:r>
      <w:proofErr w:type="gramEnd"/>
      <w:r>
        <w:rPr>
          <w:color w:val="1A1A1A"/>
        </w:rPr>
        <w:t>:</w:t>
      </w:r>
      <w:proofErr w:type="gramStart"/>
      <w:r>
        <w:rPr>
          <w:color w:val="1A1A1A"/>
        </w:rPr>
        <w:t>schemas:oracle</w:t>
      </w:r>
      <w:proofErr w:type="gramEnd"/>
      <w:r>
        <w:rPr>
          <w:color w:val="1A1A1A"/>
        </w:rPr>
        <w:t>:</w:t>
      </w:r>
      <w:proofErr w:type="gramStart"/>
      <w:r>
        <w:rPr>
          <w:color w:val="1A1A1A"/>
        </w:rPr>
        <w:t>idcs:extension</w:t>
      </w:r>
      <w:proofErr w:type="gramEnd"/>
      <w:r>
        <w:rPr>
          <w:color w:val="1A1A1A"/>
        </w:rPr>
        <w:t>:</w:t>
      </w:r>
      <w:proofErr w:type="gramStart"/>
      <w:r>
        <w:rPr>
          <w:color w:val="1A1A1A"/>
        </w:rPr>
        <w:t>user:User</w:t>
      </w:r>
      <w:proofErr w:type="gramEnd"/>
      <w:r>
        <w:rPr>
          <w:color w:val="1A1A1A"/>
        </w:rPr>
        <w:t>:bypassNotification. Select Ok.</w:t>
      </w:r>
    </w:p>
    <w:p w14:paraId="32F8A954" w14:textId="77777777" w:rsidR="00F854A1" w:rsidRDefault="00000000">
      <w:pPr>
        <w:pStyle w:val="ListParagraph"/>
        <w:numPr>
          <w:ilvl w:val="0"/>
          <w:numId w:val="14"/>
        </w:numPr>
        <w:spacing w:before="40" w:after="60" w:line="264" w:lineRule="auto"/>
      </w:pPr>
      <w:r>
        <w:rPr>
          <w:color w:val="1A1A1A"/>
        </w:rPr>
        <w:t xml:space="preserve">Confirm the </w:t>
      </w:r>
      <w:proofErr w:type="spellStart"/>
      <w:r>
        <w:rPr>
          <w:color w:val="1A1A1A"/>
        </w:rPr>
        <w:t>userName</w:t>
      </w:r>
      <w:proofErr w:type="spellEnd"/>
      <w:r>
        <w:rPr>
          <w:color w:val="1A1A1A"/>
        </w:rPr>
        <w:t xml:space="preserve"> mapping sources </w:t>
      </w:r>
      <w:proofErr w:type="spellStart"/>
      <w:r>
        <w:rPr>
          <w:color w:val="1A1A1A"/>
        </w:rPr>
        <w:t>userPrincipalName</w:t>
      </w:r>
      <w:proofErr w:type="spellEnd"/>
      <w:r>
        <w:rPr>
          <w:color w:val="1A1A1A"/>
        </w:rPr>
        <w:t xml:space="preserve">, which is </w:t>
      </w:r>
      <w:proofErr w:type="gramStart"/>
      <w:r>
        <w:rPr>
          <w:color w:val="1A1A1A"/>
        </w:rPr>
        <w:t>the Option</w:t>
      </w:r>
      <w:proofErr w:type="gramEnd"/>
      <w:r>
        <w:rPr>
          <w:color w:val="1A1A1A"/>
        </w:rPr>
        <w:t xml:space="preserve"> B matching value. Select Save.</w:t>
      </w:r>
    </w:p>
    <w:p w14:paraId="0884C95F" w14:textId="77777777" w:rsidR="00F854A1" w:rsidRDefault="00000000">
      <w:pPr>
        <w:pStyle w:val="ListParagraph"/>
        <w:numPr>
          <w:ilvl w:val="0"/>
          <w:numId w:val="14"/>
        </w:numPr>
        <w:spacing w:before="40" w:after="60" w:line="264" w:lineRule="auto"/>
      </w:pPr>
      <w:r>
        <w:rPr>
          <w:color w:val="1A1A1A"/>
        </w:rPr>
        <w:t>Return to Provisioning settings and confirm Scope is set to Sync only assigned users and groups. Save.</w:t>
      </w:r>
    </w:p>
    <w:p w14:paraId="692DEA6C" w14:textId="77777777" w:rsidR="00F854A1" w:rsidRDefault="00F854A1">
      <w:pPr>
        <w:spacing w:after="100"/>
      </w:pPr>
    </w:p>
    <w:tbl>
      <w:tblPr>
        <w:tblW w:w="10080" w:type="dxa"/>
        <w:tblBorders>
          <w:top w:val="single" w:sz="4" w:space="0" w:color="B9C3D4"/>
          <w:left w:val="single" w:sz="4" w:space="0" w:color="B9C3D4"/>
          <w:bottom w:val="single" w:sz="4" w:space="0" w:color="B9C3D4"/>
          <w:right w:val="single" w:sz="4" w:space="0" w:color="B9C3D4"/>
          <w:insideH w:val="single" w:sz="2" w:space="0" w:color="D5DCE8"/>
          <w:insideV w:val="single" w:sz="2" w:space="0" w:color="D5DCE8"/>
        </w:tblBorders>
        <w:tblCellMar>
          <w:left w:w="10" w:type="dxa"/>
          <w:right w:w="10" w:type="dxa"/>
        </w:tblCellMar>
        <w:tblLook w:val="0000" w:firstRow="0" w:lastRow="0" w:firstColumn="0" w:lastColumn="0" w:noHBand="0" w:noVBand="0"/>
      </w:tblPr>
      <w:tblGrid>
        <w:gridCol w:w="3000"/>
        <w:gridCol w:w="7080"/>
      </w:tblGrid>
      <w:tr w:rsidR="00F854A1" w14:paraId="42F77FF4" w14:textId="77777777">
        <w:tblPrEx>
          <w:tblCellMar>
            <w:top w:w="0" w:type="dxa"/>
            <w:bottom w:w="0" w:type="dxa"/>
          </w:tblCellMar>
        </w:tblPrEx>
        <w:trPr>
          <w:cantSplit/>
          <w:tblHeader/>
        </w:trPr>
        <w:tc>
          <w:tcPr>
            <w:tcW w:w="3000" w:type="dxa"/>
            <w:shd w:val="clear" w:color="auto" w:fill="1F3864"/>
            <w:tcMar>
              <w:top w:w="60" w:type="dxa"/>
              <w:left w:w="100" w:type="dxa"/>
              <w:bottom w:w="60" w:type="dxa"/>
              <w:right w:w="100" w:type="dxa"/>
            </w:tcMar>
          </w:tcPr>
          <w:p w14:paraId="218711D2" w14:textId="77777777" w:rsidR="00F854A1" w:rsidRDefault="00000000">
            <w:pPr>
              <w:spacing w:before="40" w:after="40" w:line="252" w:lineRule="auto"/>
            </w:pPr>
            <w:r>
              <w:rPr>
                <w:b/>
                <w:bCs/>
                <w:color w:val="FFFFFF"/>
                <w:sz w:val="19"/>
                <w:szCs w:val="19"/>
              </w:rPr>
              <w:t>Mapping</w:t>
            </w:r>
          </w:p>
        </w:tc>
        <w:tc>
          <w:tcPr>
            <w:tcW w:w="7080" w:type="dxa"/>
            <w:shd w:val="clear" w:color="auto" w:fill="1F3864"/>
            <w:tcMar>
              <w:top w:w="60" w:type="dxa"/>
              <w:left w:w="100" w:type="dxa"/>
              <w:bottom w:w="60" w:type="dxa"/>
              <w:right w:w="100" w:type="dxa"/>
            </w:tcMar>
          </w:tcPr>
          <w:p w14:paraId="55C35DEF" w14:textId="77777777" w:rsidR="00F854A1" w:rsidRDefault="00000000">
            <w:pPr>
              <w:spacing w:before="40" w:after="40" w:line="252" w:lineRule="auto"/>
            </w:pPr>
            <w:r>
              <w:rPr>
                <w:b/>
                <w:bCs/>
                <w:color w:val="FFFFFF"/>
                <w:sz w:val="19"/>
                <w:szCs w:val="19"/>
              </w:rPr>
              <w:t>Effect</w:t>
            </w:r>
          </w:p>
        </w:tc>
      </w:tr>
      <w:tr w:rsidR="00F854A1" w14:paraId="6160AF2C" w14:textId="77777777">
        <w:tblPrEx>
          <w:tblCellMar>
            <w:top w:w="0" w:type="dxa"/>
            <w:bottom w:w="0" w:type="dxa"/>
          </w:tblCellMar>
        </w:tblPrEx>
        <w:trPr>
          <w:cantSplit/>
        </w:trPr>
        <w:tc>
          <w:tcPr>
            <w:tcW w:w="3000" w:type="dxa"/>
            <w:shd w:val="clear" w:color="auto" w:fill="FFFFFF"/>
            <w:tcMar>
              <w:top w:w="60" w:type="dxa"/>
              <w:left w:w="100" w:type="dxa"/>
              <w:bottom w:w="60" w:type="dxa"/>
              <w:right w:w="100" w:type="dxa"/>
            </w:tcMar>
          </w:tcPr>
          <w:p w14:paraId="2BF47D39" w14:textId="77777777" w:rsidR="00F854A1" w:rsidRDefault="00000000">
            <w:pPr>
              <w:spacing w:before="40" w:after="40" w:line="252" w:lineRule="auto"/>
            </w:pPr>
            <w:proofErr w:type="spellStart"/>
            <w:r>
              <w:rPr>
                <w:b/>
                <w:bCs/>
                <w:color w:val="1A1A1A"/>
                <w:sz w:val="19"/>
                <w:szCs w:val="19"/>
              </w:rPr>
              <w:t>isFederatedUser</w:t>
            </w:r>
            <w:proofErr w:type="spellEnd"/>
            <w:r>
              <w:rPr>
                <w:b/>
                <w:bCs/>
                <w:color w:val="1A1A1A"/>
                <w:sz w:val="19"/>
                <w:szCs w:val="19"/>
              </w:rPr>
              <w:t xml:space="preserve"> = true</w:t>
            </w:r>
          </w:p>
        </w:tc>
        <w:tc>
          <w:tcPr>
            <w:tcW w:w="7080" w:type="dxa"/>
            <w:shd w:val="clear" w:color="auto" w:fill="FFFFFF"/>
            <w:tcMar>
              <w:top w:w="60" w:type="dxa"/>
              <w:left w:w="100" w:type="dxa"/>
              <w:bottom w:w="60" w:type="dxa"/>
              <w:right w:w="100" w:type="dxa"/>
            </w:tcMar>
          </w:tcPr>
          <w:p w14:paraId="5D74B56B" w14:textId="20EFB1D5" w:rsidR="00F854A1" w:rsidRDefault="00000000">
            <w:pPr>
              <w:spacing w:before="40" w:after="40" w:line="252" w:lineRule="auto"/>
            </w:pPr>
            <w:r>
              <w:rPr>
                <w:color w:val="1A1A1A"/>
                <w:sz w:val="19"/>
                <w:szCs w:val="19"/>
              </w:rPr>
              <w:t xml:space="preserve">The account authenticates only through Entra. Any local password on the account can no longer be used to sign in, which is what enforcing SSO </w:t>
            </w:r>
            <w:proofErr w:type="gramStart"/>
            <w:r>
              <w:rPr>
                <w:color w:val="1A1A1A"/>
                <w:sz w:val="19"/>
                <w:szCs w:val="19"/>
              </w:rPr>
              <w:t>for  users</w:t>
            </w:r>
            <w:proofErr w:type="gramEnd"/>
            <w:r>
              <w:rPr>
                <w:color w:val="1A1A1A"/>
                <w:sz w:val="19"/>
                <w:szCs w:val="19"/>
              </w:rPr>
              <w:t xml:space="preserve"> means in practice.</w:t>
            </w:r>
          </w:p>
        </w:tc>
      </w:tr>
      <w:tr w:rsidR="00F854A1" w14:paraId="2C948D2E" w14:textId="77777777">
        <w:tblPrEx>
          <w:tblCellMar>
            <w:top w:w="0" w:type="dxa"/>
            <w:bottom w:w="0" w:type="dxa"/>
          </w:tblCellMar>
        </w:tblPrEx>
        <w:trPr>
          <w:cantSplit/>
        </w:trPr>
        <w:tc>
          <w:tcPr>
            <w:tcW w:w="3000" w:type="dxa"/>
            <w:shd w:val="clear" w:color="auto" w:fill="F2F5F9"/>
            <w:tcMar>
              <w:top w:w="60" w:type="dxa"/>
              <w:left w:w="100" w:type="dxa"/>
              <w:bottom w:w="60" w:type="dxa"/>
              <w:right w:w="100" w:type="dxa"/>
            </w:tcMar>
          </w:tcPr>
          <w:p w14:paraId="552D1B00" w14:textId="77777777" w:rsidR="00F854A1" w:rsidRDefault="00000000">
            <w:pPr>
              <w:spacing w:before="40" w:after="40" w:line="252" w:lineRule="auto"/>
            </w:pPr>
            <w:proofErr w:type="spellStart"/>
            <w:r>
              <w:rPr>
                <w:b/>
                <w:bCs/>
                <w:color w:val="1A1A1A"/>
                <w:sz w:val="19"/>
                <w:szCs w:val="19"/>
              </w:rPr>
              <w:t>bypassNotification</w:t>
            </w:r>
            <w:proofErr w:type="spellEnd"/>
            <w:r>
              <w:rPr>
                <w:b/>
                <w:bCs/>
                <w:color w:val="1A1A1A"/>
                <w:sz w:val="19"/>
                <w:szCs w:val="19"/>
              </w:rPr>
              <w:t xml:space="preserve"> = true</w:t>
            </w:r>
          </w:p>
        </w:tc>
        <w:tc>
          <w:tcPr>
            <w:tcW w:w="7080" w:type="dxa"/>
            <w:shd w:val="clear" w:color="auto" w:fill="F2F5F9"/>
            <w:tcMar>
              <w:top w:w="60" w:type="dxa"/>
              <w:left w:w="100" w:type="dxa"/>
              <w:bottom w:w="60" w:type="dxa"/>
              <w:right w:w="100" w:type="dxa"/>
            </w:tcMar>
          </w:tcPr>
          <w:p w14:paraId="3E71BE0B" w14:textId="77777777" w:rsidR="00F854A1" w:rsidRDefault="00000000">
            <w:pPr>
              <w:spacing w:before="40" w:after="40" w:line="252" w:lineRule="auto"/>
            </w:pPr>
            <w:r>
              <w:rPr>
                <w:color w:val="1A1A1A"/>
                <w:sz w:val="19"/>
                <w:szCs w:val="19"/>
              </w:rPr>
              <w:t>No welcome or account-change email is sent when Entra creates or updates the account.</w:t>
            </w:r>
          </w:p>
        </w:tc>
      </w:tr>
      <w:tr w:rsidR="00F854A1" w14:paraId="583BBCA6" w14:textId="77777777">
        <w:tblPrEx>
          <w:tblCellMar>
            <w:top w:w="0" w:type="dxa"/>
            <w:bottom w:w="0" w:type="dxa"/>
          </w:tblCellMar>
        </w:tblPrEx>
        <w:trPr>
          <w:cantSplit/>
        </w:trPr>
        <w:tc>
          <w:tcPr>
            <w:tcW w:w="3000" w:type="dxa"/>
            <w:shd w:val="clear" w:color="auto" w:fill="FFFFFF"/>
            <w:tcMar>
              <w:top w:w="60" w:type="dxa"/>
              <w:left w:w="100" w:type="dxa"/>
              <w:bottom w:w="60" w:type="dxa"/>
              <w:right w:w="100" w:type="dxa"/>
            </w:tcMar>
          </w:tcPr>
          <w:p w14:paraId="59F8E7BD" w14:textId="77777777" w:rsidR="00F854A1" w:rsidRDefault="00000000">
            <w:pPr>
              <w:spacing w:before="40" w:after="40" w:line="252" w:lineRule="auto"/>
            </w:pPr>
            <w:r>
              <w:rPr>
                <w:b/>
                <w:bCs/>
                <w:color w:val="1A1A1A"/>
                <w:sz w:val="19"/>
                <w:szCs w:val="19"/>
              </w:rPr>
              <w:t>Scope: assigned users and groups only</w:t>
            </w:r>
          </w:p>
        </w:tc>
        <w:tc>
          <w:tcPr>
            <w:tcW w:w="7080" w:type="dxa"/>
            <w:shd w:val="clear" w:color="auto" w:fill="FFFFFF"/>
            <w:tcMar>
              <w:top w:w="60" w:type="dxa"/>
              <w:left w:w="100" w:type="dxa"/>
              <w:bottom w:w="60" w:type="dxa"/>
              <w:right w:w="100" w:type="dxa"/>
            </w:tcMar>
          </w:tcPr>
          <w:p w14:paraId="3CDF292F" w14:textId="77777777" w:rsidR="00F854A1" w:rsidRDefault="00000000">
            <w:pPr>
              <w:spacing w:before="40" w:after="40" w:line="252" w:lineRule="auto"/>
            </w:pPr>
            <w:r>
              <w:rPr>
                <w:color w:val="1A1A1A"/>
                <w:sz w:val="19"/>
                <w:szCs w:val="19"/>
              </w:rPr>
              <w:t>Entra provisions only what is explicitly assigned to the application, never the whole directory.</w:t>
            </w:r>
          </w:p>
        </w:tc>
      </w:tr>
    </w:tbl>
    <w:p w14:paraId="06C11E93" w14:textId="77777777" w:rsidR="00F854A1" w:rsidRDefault="00000000">
      <w:pPr>
        <w:pStyle w:val="Heading2"/>
        <w:spacing w:before="240" w:after="100"/>
      </w:pPr>
      <w:r>
        <w:rPr>
          <w:b/>
          <w:bCs/>
          <w:color w:val="1F3864"/>
          <w:sz w:val="24"/>
          <w:szCs w:val="24"/>
        </w:rPr>
        <w:t>B5. Assign, pilot and start provisioning</w:t>
      </w:r>
    </w:p>
    <w:p w14:paraId="39BEA0F4" w14:textId="77777777" w:rsidR="00F854A1" w:rsidRDefault="00000000">
      <w:pPr>
        <w:pStyle w:val="ListParagraph"/>
        <w:numPr>
          <w:ilvl w:val="0"/>
          <w:numId w:val="15"/>
        </w:numPr>
        <w:spacing w:before="40" w:after="60" w:line="264" w:lineRule="auto"/>
      </w:pPr>
      <w:r>
        <w:rPr>
          <w:color w:val="1A1A1A"/>
        </w:rPr>
        <w:t>In the application, under Manage, select Users and groups, then Add user/group.</w:t>
      </w:r>
    </w:p>
    <w:p w14:paraId="61318947" w14:textId="77777777" w:rsidR="00F854A1" w:rsidRDefault="00000000">
      <w:pPr>
        <w:pStyle w:val="ListParagraph"/>
        <w:numPr>
          <w:ilvl w:val="0"/>
          <w:numId w:val="15"/>
        </w:numPr>
        <w:spacing w:before="40" w:after="60" w:line="264" w:lineRule="auto"/>
      </w:pPr>
      <w:r>
        <w:rPr>
          <w:color w:val="1A1A1A"/>
        </w:rPr>
        <w:t xml:space="preserve">Under Users and groups, select None Selected, choose the production access groups identified in Section 3 and the pilot user, select </w:t>
      </w:r>
      <w:proofErr w:type="spellStart"/>
      <w:r>
        <w:rPr>
          <w:color w:val="1A1A1A"/>
        </w:rPr>
        <w:t>Select</w:t>
      </w:r>
      <w:proofErr w:type="spellEnd"/>
      <w:r>
        <w:rPr>
          <w:color w:val="1A1A1A"/>
        </w:rPr>
        <w:t>, then Assign.</w:t>
      </w:r>
    </w:p>
    <w:p w14:paraId="446C646D" w14:textId="77777777" w:rsidR="00F854A1" w:rsidRDefault="00000000">
      <w:pPr>
        <w:pStyle w:val="ListParagraph"/>
        <w:numPr>
          <w:ilvl w:val="0"/>
          <w:numId w:val="15"/>
        </w:numPr>
        <w:spacing w:before="40" w:after="60" w:line="264" w:lineRule="auto"/>
      </w:pPr>
      <w:r>
        <w:rPr>
          <w:color w:val="1A1A1A"/>
        </w:rPr>
        <w:t>In Provisioning, use Provision on demand for the pilot user first. Confirm the result shows the account created or updated in the domain with no errors.</w:t>
      </w:r>
    </w:p>
    <w:p w14:paraId="0D557833" w14:textId="77777777" w:rsidR="00F854A1" w:rsidRDefault="00000000">
      <w:pPr>
        <w:pStyle w:val="ListParagraph"/>
        <w:numPr>
          <w:ilvl w:val="0"/>
          <w:numId w:val="15"/>
        </w:numPr>
        <w:spacing w:before="40" w:after="60" w:line="264" w:lineRule="auto"/>
      </w:pPr>
      <w:r>
        <w:rPr>
          <w:color w:val="1A1A1A"/>
        </w:rPr>
        <w:t xml:space="preserve">Check the pilot account in the OCI Console under ERP@fa-icfdjb-msb7c → Users: the </w:t>
      </w:r>
      <w:proofErr w:type="gramStart"/>
      <w:r>
        <w:rPr>
          <w:color w:val="1A1A1A"/>
        </w:rPr>
        <w:t>user name</w:t>
      </w:r>
      <w:proofErr w:type="gramEnd"/>
      <w:r>
        <w:rPr>
          <w:color w:val="1A1A1A"/>
        </w:rPr>
        <w:t xml:space="preserve"> matches the Entra principal name and Federated shows Yes.</w:t>
      </w:r>
    </w:p>
    <w:p w14:paraId="22F104C3" w14:textId="77777777" w:rsidR="00F854A1" w:rsidRDefault="00000000">
      <w:pPr>
        <w:pStyle w:val="ListParagraph"/>
        <w:numPr>
          <w:ilvl w:val="0"/>
          <w:numId w:val="15"/>
        </w:numPr>
        <w:spacing w:before="40" w:after="60" w:line="264" w:lineRule="auto"/>
      </w:pPr>
      <w:r>
        <w:rPr>
          <w:color w:val="1A1A1A"/>
        </w:rPr>
        <w:t>Return to Provisioning and select Start provisioning. The first cycle provisions the remaining assigned users and groups.</w:t>
      </w:r>
    </w:p>
    <w:p w14:paraId="13506437" w14:textId="77777777" w:rsidR="00F854A1" w:rsidRDefault="00000000">
      <w:pPr>
        <w:pStyle w:val="Heading2"/>
        <w:spacing w:before="240" w:after="100"/>
      </w:pPr>
      <w:r>
        <w:rPr>
          <w:b/>
          <w:bCs/>
          <w:color w:val="1F3864"/>
          <w:sz w:val="24"/>
          <w:szCs w:val="24"/>
        </w:rPr>
        <w:t>B6. Confirm the first cycle</w:t>
      </w:r>
    </w:p>
    <w:p w14:paraId="0E214E60" w14:textId="77777777" w:rsidR="00F854A1" w:rsidRDefault="00000000">
      <w:pPr>
        <w:pStyle w:val="ListParagraph"/>
        <w:numPr>
          <w:ilvl w:val="0"/>
          <w:numId w:val="16"/>
        </w:numPr>
        <w:spacing w:before="40" w:after="60" w:line="264" w:lineRule="auto"/>
      </w:pPr>
      <w:r>
        <w:rPr>
          <w:color w:val="1A1A1A"/>
        </w:rPr>
        <w:t>In Provisioning, wait for Current cycle status to show the cycle completed, and compare the number of users provisioned with the membership of the assigned groups.</w:t>
      </w:r>
    </w:p>
    <w:p w14:paraId="2EC87BCA" w14:textId="77777777" w:rsidR="00F854A1" w:rsidRDefault="00000000">
      <w:pPr>
        <w:pStyle w:val="ListParagraph"/>
        <w:numPr>
          <w:ilvl w:val="0"/>
          <w:numId w:val="16"/>
        </w:numPr>
        <w:spacing w:before="40" w:after="60" w:line="264" w:lineRule="auto"/>
      </w:pPr>
      <w:r>
        <w:rPr>
          <w:color w:val="1A1A1A"/>
        </w:rPr>
        <w:t>Review the provisioning logs for skipped or failed records and resolve each one before go-live.</w:t>
      </w:r>
    </w:p>
    <w:p w14:paraId="5C41AFBA" w14:textId="77777777" w:rsidR="00F854A1" w:rsidRDefault="00000000">
      <w:pPr>
        <w:pStyle w:val="ListParagraph"/>
        <w:numPr>
          <w:ilvl w:val="0"/>
          <w:numId w:val="16"/>
        </w:numPr>
        <w:spacing w:before="40" w:after="60" w:line="264" w:lineRule="auto"/>
      </w:pPr>
      <w:r>
        <w:rPr>
          <w:color w:val="1A1A1A"/>
        </w:rPr>
        <w:t>In the OCI Console, confirm the provisioned users and groups appear in the domain and that the six local service and administrative accounts are unchanged.</w:t>
      </w:r>
    </w:p>
    <w:p w14:paraId="5EFF4703" w14:textId="77777777" w:rsidR="00F854A1" w:rsidRDefault="00000000">
      <w:pPr>
        <w:pStyle w:val="ListParagraph"/>
        <w:numPr>
          <w:ilvl w:val="0"/>
          <w:numId w:val="16"/>
        </w:numPr>
        <w:spacing w:before="40" w:after="60" w:line="264" w:lineRule="auto"/>
      </w:pPr>
      <w:r>
        <w:rPr>
          <w:color w:val="1A1A1A"/>
        </w:rPr>
        <w:t>Sign in as a second provisioned user through Fusion to confirm that SSO and provisioning agree on that user.</w:t>
      </w:r>
    </w:p>
    <w:p w14:paraId="02543322" w14:textId="77777777" w:rsidR="00F854A1" w:rsidRDefault="00F854A1">
      <w:pPr>
        <w:spacing w:after="100"/>
      </w:pPr>
    </w:p>
    <w:tbl>
      <w:tblPr>
        <w:tblW w:w="10080" w:type="dxa"/>
        <w:tblBorders>
          <w:top w:val="single" w:sz="2" w:space="0" w:color="E3C9C3"/>
          <w:left w:val="single" w:sz="18" w:space="0" w:color="C74634"/>
          <w:bottom w:val="single" w:sz="2" w:space="0" w:color="E3C9C3"/>
          <w:right w:val="single" w:sz="2" w:space="0" w:color="E3C9C3"/>
        </w:tblBorders>
        <w:tblCellMar>
          <w:left w:w="10" w:type="dxa"/>
          <w:right w:w="10" w:type="dxa"/>
        </w:tblCellMar>
        <w:tblLook w:val="0000" w:firstRow="0" w:lastRow="0" w:firstColumn="0" w:lastColumn="0" w:noHBand="0" w:noVBand="0"/>
      </w:tblPr>
      <w:tblGrid>
        <w:gridCol w:w="10080"/>
      </w:tblGrid>
      <w:tr w:rsidR="00F854A1" w14:paraId="22E373EF" w14:textId="77777777">
        <w:tblPrEx>
          <w:tblCellMar>
            <w:top w:w="0" w:type="dxa"/>
            <w:bottom w:w="0" w:type="dxa"/>
          </w:tblCellMar>
        </w:tblPrEx>
        <w:tc>
          <w:tcPr>
            <w:tcW w:w="10080" w:type="dxa"/>
            <w:shd w:val="clear" w:color="auto" w:fill="FBF4F2"/>
            <w:tcMar>
              <w:top w:w="100" w:type="dxa"/>
              <w:left w:w="160" w:type="dxa"/>
              <w:bottom w:w="100" w:type="dxa"/>
              <w:right w:w="160" w:type="dxa"/>
            </w:tcMar>
          </w:tcPr>
          <w:p w14:paraId="733A482F" w14:textId="77777777" w:rsidR="00F854A1" w:rsidRDefault="00000000">
            <w:pPr>
              <w:spacing w:after="40"/>
            </w:pPr>
            <w:proofErr w:type="spellStart"/>
            <w:r>
              <w:rPr>
                <w:b/>
                <w:bCs/>
                <w:color w:val="C74634"/>
                <w:sz w:val="18"/>
                <w:szCs w:val="18"/>
              </w:rPr>
              <w:lastRenderedPageBreak/>
              <w:t>Unassignment</w:t>
            </w:r>
            <w:proofErr w:type="spellEnd"/>
            <w:r>
              <w:rPr>
                <w:b/>
                <w:bCs/>
                <w:color w:val="C74634"/>
                <w:sz w:val="18"/>
                <w:szCs w:val="18"/>
              </w:rPr>
              <w:t xml:space="preserve"> deactivates</w:t>
            </w:r>
          </w:p>
          <w:p w14:paraId="1DF0330E" w14:textId="77777777" w:rsidR="00F854A1" w:rsidRDefault="00000000">
            <w:pPr>
              <w:spacing w:line="264" w:lineRule="auto"/>
            </w:pPr>
            <w:r>
              <w:rPr>
                <w:color w:val="1A1A1A"/>
                <w:sz w:val="20"/>
                <w:szCs w:val="20"/>
              </w:rPr>
              <w:t xml:space="preserve">Removing a user or group from the Entra application deactivates the corresponding accounts in the domain. In a Fusion identity domain, that ends the user's production Fusion sign-in. It is the intended leaver </w:t>
            </w:r>
            <w:proofErr w:type="spellStart"/>
            <w:r>
              <w:rPr>
                <w:color w:val="1A1A1A"/>
                <w:sz w:val="20"/>
                <w:szCs w:val="20"/>
              </w:rPr>
              <w:t>behaviour</w:t>
            </w:r>
            <w:proofErr w:type="spellEnd"/>
            <w:r>
              <w:rPr>
                <w:color w:val="1A1A1A"/>
                <w:sz w:val="20"/>
                <w:szCs w:val="20"/>
              </w:rPr>
              <w:t>, and from go-live it also means an accidental group removal in Entra is a production access incident. Restrict who may change the application's assignments.</w:t>
            </w:r>
          </w:p>
        </w:tc>
      </w:tr>
    </w:tbl>
    <w:p w14:paraId="0AE3551E" w14:textId="77777777" w:rsidR="00F854A1" w:rsidRDefault="00000000">
      <w:pPr>
        <w:pStyle w:val="Heading1"/>
        <w:pBdr>
          <w:bottom w:val="single" w:sz="10" w:space="4" w:color="C74634"/>
        </w:pBdr>
        <w:spacing w:before="320" w:after="140"/>
      </w:pPr>
      <w:r>
        <w:rPr>
          <w:b/>
          <w:bCs/>
          <w:color w:val="1F3864"/>
          <w:sz w:val="28"/>
          <w:szCs w:val="28"/>
        </w:rPr>
        <w:t>Verification</w:t>
      </w:r>
    </w:p>
    <w:tbl>
      <w:tblPr>
        <w:tblW w:w="10080" w:type="dxa"/>
        <w:tblBorders>
          <w:top w:val="single" w:sz="4" w:space="0" w:color="B9C3D4"/>
          <w:left w:val="single" w:sz="4" w:space="0" w:color="B9C3D4"/>
          <w:bottom w:val="single" w:sz="4" w:space="0" w:color="B9C3D4"/>
          <w:right w:val="single" w:sz="4" w:space="0" w:color="B9C3D4"/>
          <w:insideH w:val="single" w:sz="2" w:space="0" w:color="D5DCE8"/>
          <w:insideV w:val="single" w:sz="2" w:space="0" w:color="D5DCE8"/>
        </w:tblBorders>
        <w:tblCellMar>
          <w:left w:w="10" w:type="dxa"/>
          <w:right w:w="10" w:type="dxa"/>
        </w:tblCellMar>
        <w:tblLook w:val="0000" w:firstRow="0" w:lastRow="0" w:firstColumn="0" w:lastColumn="0" w:noHBand="0" w:noVBand="0"/>
      </w:tblPr>
      <w:tblGrid>
        <w:gridCol w:w="700"/>
        <w:gridCol w:w="4000"/>
        <w:gridCol w:w="5380"/>
      </w:tblGrid>
      <w:tr w:rsidR="00F854A1" w14:paraId="239EF8E7" w14:textId="77777777">
        <w:tblPrEx>
          <w:tblCellMar>
            <w:top w:w="0" w:type="dxa"/>
            <w:bottom w:w="0" w:type="dxa"/>
          </w:tblCellMar>
        </w:tblPrEx>
        <w:trPr>
          <w:cantSplit/>
          <w:tblHeader/>
        </w:trPr>
        <w:tc>
          <w:tcPr>
            <w:tcW w:w="700" w:type="dxa"/>
            <w:shd w:val="clear" w:color="auto" w:fill="1F3864"/>
            <w:tcMar>
              <w:top w:w="60" w:type="dxa"/>
              <w:left w:w="100" w:type="dxa"/>
              <w:bottom w:w="60" w:type="dxa"/>
              <w:right w:w="100" w:type="dxa"/>
            </w:tcMar>
          </w:tcPr>
          <w:p w14:paraId="4E4529B4" w14:textId="77777777" w:rsidR="00F854A1" w:rsidRDefault="00000000">
            <w:pPr>
              <w:spacing w:before="40" w:after="40" w:line="252" w:lineRule="auto"/>
            </w:pPr>
            <w:r>
              <w:rPr>
                <w:b/>
                <w:bCs/>
                <w:color w:val="FFFFFF"/>
                <w:sz w:val="19"/>
                <w:szCs w:val="19"/>
              </w:rPr>
              <w:t>ID</w:t>
            </w:r>
          </w:p>
        </w:tc>
        <w:tc>
          <w:tcPr>
            <w:tcW w:w="4000" w:type="dxa"/>
            <w:shd w:val="clear" w:color="auto" w:fill="1F3864"/>
            <w:tcMar>
              <w:top w:w="60" w:type="dxa"/>
              <w:left w:w="100" w:type="dxa"/>
              <w:bottom w:w="60" w:type="dxa"/>
              <w:right w:w="100" w:type="dxa"/>
            </w:tcMar>
          </w:tcPr>
          <w:p w14:paraId="4E5DB502" w14:textId="77777777" w:rsidR="00F854A1" w:rsidRDefault="00000000">
            <w:pPr>
              <w:spacing w:before="40" w:after="40" w:line="252" w:lineRule="auto"/>
            </w:pPr>
            <w:r>
              <w:rPr>
                <w:b/>
                <w:bCs/>
                <w:color w:val="FFFFFF"/>
                <w:sz w:val="19"/>
                <w:szCs w:val="19"/>
              </w:rPr>
              <w:t>Test</w:t>
            </w:r>
          </w:p>
        </w:tc>
        <w:tc>
          <w:tcPr>
            <w:tcW w:w="5380" w:type="dxa"/>
            <w:shd w:val="clear" w:color="auto" w:fill="1F3864"/>
            <w:tcMar>
              <w:top w:w="60" w:type="dxa"/>
              <w:left w:w="100" w:type="dxa"/>
              <w:bottom w:w="60" w:type="dxa"/>
              <w:right w:w="100" w:type="dxa"/>
            </w:tcMar>
          </w:tcPr>
          <w:p w14:paraId="7BF5E6AA" w14:textId="77777777" w:rsidR="00F854A1" w:rsidRDefault="00000000">
            <w:pPr>
              <w:spacing w:before="40" w:after="40" w:line="252" w:lineRule="auto"/>
            </w:pPr>
            <w:r>
              <w:rPr>
                <w:b/>
                <w:bCs/>
                <w:color w:val="FFFFFF"/>
                <w:sz w:val="19"/>
                <w:szCs w:val="19"/>
              </w:rPr>
              <w:t>Expected result</w:t>
            </w:r>
          </w:p>
        </w:tc>
      </w:tr>
      <w:tr w:rsidR="00F854A1" w14:paraId="0D6D4FC6" w14:textId="77777777">
        <w:tblPrEx>
          <w:tblCellMar>
            <w:top w:w="0" w:type="dxa"/>
            <w:bottom w:w="0" w:type="dxa"/>
          </w:tblCellMar>
        </w:tblPrEx>
        <w:trPr>
          <w:cantSplit/>
        </w:trPr>
        <w:tc>
          <w:tcPr>
            <w:tcW w:w="700" w:type="dxa"/>
            <w:shd w:val="clear" w:color="auto" w:fill="FFFFFF"/>
            <w:tcMar>
              <w:top w:w="60" w:type="dxa"/>
              <w:left w:w="100" w:type="dxa"/>
              <w:bottom w:w="60" w:type="dxa"/>
              <w:right w:w="100" w:type="dxa"/>
            </w:tcMar>
          </w:tcPr>
          <w:p w14:paraId="24BF742F" w14:textId="77777777" w:rsidR="00F854A1" w:rsidRDefault="00000000">
            <w:pPr>
              <w:spacing w:before="40" w:after="40" w:line="252" w:lineRule="auto"/>
            </w:pPr>
            <w:r>
              <w:rPr>
                <w:b/>
                <w:bCs/>
                <w:color w:val="1A1A1A"/>
                <w:sz w:val="19"/>
                <w:szCs w:val="19"/>
              </w:rPr>
              <w:t>T-01</w:t>
            </w:r>
          </w:p>
        </w:tc>
        <w:tc>
          <w:tcPr>
            <w:tcW w:w="4000" w:type="dxa"/>
            <w:shd w:val="clear" w:color="auto" w:fill="FFFFFF"/>
            <w:tcMar>
              <w:top w:w="60" w:type="dxa"/>
              <w:left w:w="100" w:type="dxa"/>
              <w:bottom w:w="60" w:type="dxa"/>
              <w:right w:w="100" w:type="dxa"/>
            </w:tcMar>
          </w:tcPr>
          <w:p w14:paraId="5FD906BD" w14:textId="77777777" w:rsidR="00F854A1" w:rsidRDefault="00000000">
            <w:pPr>
              <w:spacing w:before="40" w:after="40" w:line="252" w:lineRule="auto"/>
            </w:pPr>
            <w:r>
              <w:rPr>
                <w:color w:val="1A1A1A"/>
                <w:sz w:val="19"/>
                <w:szCs w:val="19"/>
              </w:rPr>
              <w:t>Pilot user opens the production Fusion URL and chooses Entra</w:t>
            </w:r>
          </w:p>
        </w:tc>
        <w:tc>
          <w:tcPr>
            <w:tcW w:w="5380" w:type="dxa"/>
            <w:shd w:val="clear" w:color="auto" w:fill="FFFFFF"/>
            <w:tcMar>
              <w:top w:w="60" w:type="dxa"/>
              <w:left w:w="100" w:type="dxa"/>
              <w:bottom w:w="60" w:type="dxa"/>
              <w:right w:w="100" w:type="dxa"/>
            </w:tcMar>
          </w:tcPr>
          <w:p w14:paraId="23E46E6F" w14:textId="77777777" w:rsidR="00F854A1" w:rsidRDefault="00000000">
            <w:pPr>
              <w:spacing w:before="40" w:after="40" w:line="252" w:lineRule="auto"/>
            </w:pPr>
            <w:r>
              <w:rPr>
                <w:color w:val="1A1A1A"/>
                <w:sz w:val="19"/>
                <w:szCs w:val="19"/>
              </w:rPr>
              <w:t>Redirect to Microsoft sign-in, conditional access applied, lands in Fusion with the correct roles.</w:t>
            </w:r>
          </w:p>
        </w:tc>
      </w:tr>
      <w:tr w:rsidR="00F854A1" w14:paraId="077B42B2" w14:textId="77777777">
        <w:tblPrEx>
          <w:tblCellMar>
            <w:top w:w="0" w:type="dxa"/>
            <w:bottom w:w="0" w:type="dxa"/>
          </w:tblCellMar>
        </w:tblPrEx>
        <w:trPr>
          <w:cantSplit/>
        </w:trPr>
        <w:tc>
          <w:tcPr>
            <w:tcW w:w="700" w:type="dxa"/>
            <w:shd w:val="clear" w:color="auto" w:fill="F2F5F9"/>
            <w:tcMar>
              <w:top w:w="60" w:type="dxa"/>
              <w:left w:w="100" w:type="dxa"/>
              <w:bottom w:w="60" w:type="dxa"/>
              <w:right w:w="100" w:type="dxa"/>
            </w:tcMar>
          </w:tcPr>
          <w:p w14:paraId="359A224B" w14:textId="77777777" w:rsidR="00F854A1" w:rsidRDefault="00000000">
            <w:pPr>
              <w:spacing w:before="40" w:after="40" w:line="252" w:lineRule="auto"/>
            </w:pPr>
            <w:r>
              <w:rPr>
                <w:b/>
                <w:bCs/>
                <w:color w:val="1A1A1A"/>
                <w:sz w:val="19"/>
                <w:szCs w:val="19"/>
              </w:rPr>
              <w:t>T-02</w:t>
            </w:r>
          </w:p>
        </w:tc>
        <w:tc>
          <w:tcPr>
            <w:tcW w:w="4000" w:type="dxa"/>
            <w:shd w:val="clear" w:color="auto" w:fill="F2F5F9"/>
            <w:tcMar>
              <w:top w:w="60" w:type="dxa"/>
              <w:left w:w="100" w:type="dxa"/>
              <w:bottom w:w="60" w:type="dxa"/>
              <w:right w:w="100" w:type="dxa"/>
            </w:tcMar>
          </w:tcPr>
          <w:p w14:paraId="75225608" w14:textId="77777777" w:rsidR="00F854A1" w:rsidRDefault="00000000">
            <w:pPr>
              <w:spacing w:before="40" w:after="40" w:line="252" w:lineRule="auto"/>
            </w:pPr>
            <w:r>
              <w:rPr>
                <w:color w:val="1A1A1A"/>
                <w:sz w:val="19"/>
                <w:szCs w:val="19"/>
              </w:rPr>
              <w:t>Pilot user launches the application tile from My Apps</w:t>
            </w:r>
          </w:p>
        </w:tc>
        <w:tc>
          <w:tcPr>
            <w:tcW w:w="5380" w:type="dxa"/>
            <w:shd w:val="clear" w:color="auto" w:fill="F2F5F9"/>
            <w:tcMar>
              <w:top w:w="60" w:type="dxa"/>
              <w:left w:w="100" w:type="dxa"/>
              <w:bottom w:w="60" w:type="dxa"/>
              <w:right w:w="100" w:type="dxa"/>
            </w:tcMar>
          </w:tcPr>
          <w:p w14:paraId="414B795A" w14:textId="77777777" w:rsidR="00F854A1" w:rsidRDefault="00000000">
            <w:pPr>
              <w:spacing w:before="40" w:after="40" w:line="252" w:lineRule="auto"/>
            </w:pPr>
            <w:r>
              <w:rPr>
                <w:color w:val="1A1A1A"/>
                <w:sz w:val="19"/>
                <w:szCs w:val="19"/>
              </w:rPr>
              <w:t>Lands in production Fusion.</w:t>
            </w:r>
          </w:p>
        </w:tc>
      </w:tr>
      <w:tr w:rsidR="00F854A1" w14:paraId="56DDD327" w14:textId="77777777">
        <w:tblPrEx>
          <w:tblCellMar>
            <w:top w:w="0" w:type="dxa"/>
            <w:bottom w:w="0" w:type="dxa"/>
          </w:tblCellMar>
        </w:tblPrEx>
        <w:trPr>
          <w:cantSplit/>
        </w:trPr>
        <w:tc>
          <w:tcPr>
            <w:tcW w:w="700" w:type="dxa"/>
            <w:shd w:val="clear" w:color="auto" w:fill="FFFFFF"/>
            <w:tcMar>
              <w:top w:w="60" w:type="dxa"/>
              <w:left w:w="100" w:type="dxa"/>
              <w:bottom w:w="60" w:type="dxa"/>
              <w:right w:w="100" w:type="dxa"/>
            </w:tcMar>
          </w:tcPr>
          <w:p w14:paraId="1EBA67B4" w14:textId="77777777" w:rsidR="00F854A1" w:rsidRDefault="00000000">
            <w:pPr>
              <w:spacing w:before="40" w:after="40" w:line="252" w:lineRule="auto"/>
            </w:pPr>
            <w:r>
              <w:rPr>
                <w:b/>
                <w:bCs/>
                <w:color w:val="1A1A1A"/>
                <w:sz w:val="19"/>
                <w:szCs w:val="19"/>
              </w:rPr>
              <w:t>T-03</w:t>
            </w:r>
          </w:p>
        </w:tc>
        <w:tc>
          <w:tcPr>
            <w:tcW w:w="4000" w:type="dxa"/>
            <w:shd w:val="clear" w:color="auto" w:fill="FFFFFF"/>
            <w:tcMar>
              <w:top w:w="60" w:type="dxa"/>
              <w:left w:w="100" w:type="dxa"/>
              <w:bottom w:w="60" w:type="dxa"/>
              <w:right w:w="100" w:type="dxa"/>
            </w:tcMar>
          </w:tcPr>
          <w:p w14:paraId="70293157" w14:textId="77777777" w:rsidR="00F854A1" w:rsidRDefault="00000000">
            <w:pPr>
              <w:spacing w:before="40" w:after="40" w:line="252" w:lineRule="auto"/>
            </w:pPr>
            <w:r>
              <w:rPr>
                <w:color w:val="1A1A1A"/>
                <w:sz w:val="19"/>
                <w:szCs w:val="19"/>
              </w:rPr>
              <w:t>Entra user not assigned to the application attempts sign-in</w:t>
            </w:r>
          </w:p>
        </w:tc>
        <w:tc>
          <w:tcPr>
            <w:tcW w:w="5380" w:type="dxa"/>
            <w:shd w:val="clear" w:color="auto" w:fill="FFFFFF"/>
            <w:tcMar>
              <w:top w:w="60" w:type="dxa"/>
              <w:left w:w="100" w:type="dxa"/>
              <w:bottom w:w="60" w:type="dxa"/>
              <w:right w:w="100" w:type="dxa"/>
            </w:tcMar>
          </w:tcPr>
          <w:p w14:paraId="7756C559" w14:textId="77777777" w:rsidR="00F854A1" w:rsidRDefault="00000000">
            <w:pPr>
              <w:spacing w:before="40" w:after="40" w:line="252" w:lineRule="auto"/>
            </w:pPr>
            <w:r>
              <w:rPr>
                <w:color w:val="1A1A1A"/>
                <w:sz w:val="19"/>
                <w:szCs w:val="19"/>
              </w:rPr>
              <w:t>Refused by Entra with AADSTS50105. Never reaches Fusion.</w:t>
            </w:r>
          </w:p>
        </w:tc>
      </w:tr>
      <w:tr w:rsidR="00F854A1" w14:paraId="59ADF061" w14:textId="77777777">
        <w:tblPrEx>
          <w:tblCellMar>
            <w:top w:w="0" w:type="dxa"/>
            <w:bottom w:w="0" w:type="dxa"/>
          </w:tblCellMar>
        </w:tblPrEx>
        <w:trPr>
          <w:cantSplit/>
        </w:trPr>
        <w:tc>
          <w:tcPr>
            <w:tcW w:w="700" w:type="dxa"/>
            <w:shd w:val="clear" w:color="auto" w:fill="F2F5F9"/>
            <w:tcMar>
              <w:top w:w="60" w:type="dxa"/>
              <w:left w:w="100" w:type="dxa"/>
              <w:bottom w:w="60" w:type="dxa"/>
              <w:right w:w="100" w:type="dxa"/>
            </w:tcMar>
          </w:tcPr>
          <w:p w14:paraId="16FA67B2" w14:textId="77777777" w:rsidR="00F854A1" w:rsidRDefault="00000000">
            <w:pPr>
              <w:spacing w:before="40" w:after="40" w:line="252" w:lineRule="auto"/>
            </w:pPr>
            <w:r>
              <w:rPr>
                <w:b/>
                <w:bCs/>
                <w:color w:val="1A1A1A"/>
                <w:sz w:val="19"/>
                <w:szCs w:val="19"/>
              </w:rPr>
              <w:t>T-04</w:t>
            </w:r>
          </w:p>
        </w:tc>
        <w:tc>
          <w:tcPr>
            <w:tcW w:w="4000" w:type="dxa"/>
            <w:shd w:val="clear" w:color="auto" w:fill="F2F5F9"/>
            <w:tcMar>
              <w:top w:w="60" w:type="dxa"/>
              <w:left w:w="100" w:type="dxa"/>
              <w:bottom w:w="60" w:type="dxa"/>
              <w:right w:w="100" w:type="dxa"/>
            </w:tcMar>
          </w:tcPr>
          <w:p w14:paraId="1F68DA0E" w14:textId="77777777" w:rsidR="00F854A1" w:rsidRDefault="00000000">
            <w:pPr>
              <w:spacing w:before="40" w:after="40" w:line="252" w:lineRule="auto"/>
            </w:pPr>
            <w:r>
              <w:rPr>
                <w:color w:val="1A1A1A"/>
                <w:sz w:val="19"/>
                <w:szCs w:val="19"/>
              </w:rPr>
              <w:t>Provisioned user attempts to sign in with a local password</w:t>
            </w:r>
          </w:p>
        </w:tc>
        <w:tc>
          <w:tcPr>
            <w:tcW w:w="5380" w:type="dxa"/>
            <w:shd w:val="clear" w:color="auto" w:fill="F2F5F9"/>
            <w:tcMar>
              <w:top w:w="60" w:type="dxa"/>
              <w:left w:w="100" w:type="dxa"/>
              <w:bottom w:w="60" w:type="dxa"/>
              <w:right w:w="100" w:type="dxa"/>
            </w:tcMar>
          </w:tcPr>
          <w:p w14:paraId="1481FC04" w14:textId="77777777" w:rsidR="00F854A1" w:rsidRDefault="00000000">
            <w:pPr>
              <w:spacing w:before="40" w:after="40" w:line="252" w:lineRule="auto"/>
            </w:pPr>
            <w:r>
              <w:rPr>
                <w:color w:val="1A1A1A"/>
                <w:sz w:val="19"/>
                <w:szCs w:val="19"/>
              </w:rPr>
              <w:t>Refused — the account is federated.</w:t>
            </w:r>
          </w:p>
        </w:tc>
      </w:tr>
      <w:tr w:rsidR="00F854A1" w14:paraId="48F1891D" w14:textId="77777777">
        <w:tblPrEx>
          <w:tblCellMar>
            <w:top w:w="0" w:type="dxa"/>
            <w:bottom w:w="0" w:type="dxa"/>
          </w:tblCellMar>
        </w:tblPrEx>
        <w:trPr>
          <w:cantSplit/>
        </w:trPr>
        <w:tc>
          <w:tcPr>
            <w:tcW w:w="700" w:type="dxa"/>
            <w:shd w:val="clear" w:color="auto" w:fill="FFFFFF"/>
            <w:tcMar>
              <w:top w:w="60" w:type="dxa"/>
              <w:left w:w="100" w:type="dxa"/>
              <w:bottom w:w="60" w:type="dxa"/>
              <w:right w:w="100" w:type="dxa"/>
            </w:tcMar>
          </w:tcPr>
          <w:p w14:paraId="00EBABA8" w14:textId="77777777" w:rsidR="00F854A1" w:rsidRDefault="00000000">
            <w:pPr>
              <w:spacing w:before="40" w:after="40" w:line="252" w:lineRule="auto"/>
            </w:pPr>
            <w:r>
              <w:rPr>
                <w:b/>
                <w:bCs/>
                <w:color w:val="1A1A1A"/>
                <w:sz w:val="19"/>
                <w:szCs w:val="19"/>
              </w:rPr>
              <w:t>T-05</w:t>
            </w:r>
          </w:p>
        </w:tc>
        <w:tc>
          <w:tcPr>
            <w:tcW w:w="4000" w:type="dxa"/>
            <w:shd w:val="clear" w:color="auto" w:fill="FFFFFF"/>
            <w:tcMar>
              <w:top w:w="60" w:type="dxa"/>
              <w:left w:w="100" w:type="dxa"/>
              <w:bottom w:w="60" w:type="dxa"/>
              <w:right w:w="100" w:type="dxa"/>
            </w:tcMar>
          </w:tcPr>
          <w:p w14:paraId="6C250D84" w14:textId="77777777" w:rsidR="00F854A1" w:rsidRDefault="00000000">
            <w:pPr>
              <w:spacing w:before="40" w:after="40" w:line="252" w:lineRule="auto"/>
            </w:pPr>
            <w:proofErr w:type="spellStart"/>
            <w:r>
              <w:rPr>
                <w:color w:val="1A1A1A"/>
                <w:sz w:val="19"/>
                <w:szCs w:val="19"/>
              </w:rPr>
              <w:t>faadmin</w:t>
            </w:r>
            <w:proofErr w:type="spellEnd"/>
            <w:r>
              <w:rPr>
                <w:color w:val="1A1A1A"/>
                <w:sz w:val="19"/>
                <w:szCs w:val="19"/>
              </w:rPr>
              <w:t xml:space="preserve"> and one monitoring account sign in locally</w:t>
            </w:r>
          </w:p>
        </w:tc>
        <w:tc>
          <w:tcPr>
            <w:tcW w:w="5380" w:type="dxa"/>
            <w:shd w:val="clear" w:color="auto" w:fill="FFFFFF"/>
            <w:tcMar>
              <w:top w:w="60" w:type="dxa"/>
              <w:left w:w="100" w:type="dxa"/>
              <w:bottom w:w="60" w:type="dxa"/>
              <w:right w:w="100" w:type="dxa"/>
            </w:tcMar>
          </w:tcPr>
          <w:p w14:paraId="648477B7" w14:textId="77777777" w:rsidR="00F854A1" w:rsidRDefault="00000000">
            <w:pPr>
              <w:spacing w:before="40" w:after="40" w:line="252" w:lineRule="auto"/>
            </w:pPr>
            <w:r>
              <w:rPr>
                <w:color w:val="1A1A1A"/>
                <w:sz w:val="19"/>
                <w:szCs w:val="19"/>
              </w:rPr>
              <w:t>Unaffected.</w:t>
            </w:r>
          </w:p>
        </w:tc>
      </w:tr>
      <w:tr w:rsidR="00F854A1" w14:paraId="0D213EE5" w14:textId="77777777">
        <w:tblPrEx>
          <w:tblCellMar>
            <w:top w:w="0" w:type="dxa"/>
            <w:bottom w:w="0" w:type="dxa"/>
          </w:tblCellMar>
        </w:tblPrEx>
        <w:trPr>
          <w:cantSplit/>
        </w:trPr>
        <w:tc>
          <w:tcPr>
            <w:tcW w:w="700" w:type="dxa"/>
            <w:shd w:val="clear" w:color="auto" w:fill="F2F5F9"/>
            <w:tcMar>
              <w:top w:w="60" w:type="dxa"/>
              <w:left w:w="100" w:type="dxa"/>
              <w:bottom w:w="60" w:type="dxa"/>
              <w:right w:w="100" w:type="dxa"/>
            </w:tcMar>
          </w:tcPr>
          <w:p w14:paraId="7525EB02" w14:textId="77777777" w:rsidR="00F854A1" w:rsidRDefault="00000000">
            <w:pPr>
              <w:spacing w:before="40" w:after="40" w:line="252" w:lineRule="auto"/>
            </w:pPr>
            <w:r>
              <w:rPr>
                <w:b/>
                <w:bCs/>
                <w:color w:val="1A1A1A"/>
                <w:sz w:val="19"/>
                <w:szCs w:val="19"/>
              </w:rPr>
              <w:t>T-06</w:t>
            </w:r>
          </w:p>
        </w:tc>
        <w:tc>
          <w:tcPr>
            <w:tcW w:w="4000" w:type="dxa"/>
            <w:shd w:val="clear" w:color="auto" w:fill="F2F5F9"/>
            <w:tcMar>
              <w:top w:w="60" w:type="dxa"/>
              <w:left w:w="100" w:type="dxa"/>
              <w:bottom w:w="60" w:type="dxa"/>
              <w:right w:w="100" w:type="dxa"/>
            </w:tcMar>
          </w:tcPr>
          <w:p w14:paraId="4AB5A4E3" w14:textId="77777777" w:rsidR="00F854A1" w:rsidRDefault="00000000">
            <w:pPr>
              <w:spacing w:before="40" w:after="40" w:line="252" w:lineRule="auto"/>
            </w:pPr>
            <w:r>
              <w:rPr>
                <w:color w:val="1A1A1A"/>
                <w:sz w:val="19"/>
                <w:szCs w:val="19"/>
              </w:rPr>
              <w:t xml:space="preserve">Pilot user is removed from the application in </w:t>
            </w:r>
            <w:proofErr w:type="gramStart"/>
            <w:r>
              <w:rPr>
                <w:color w:val="1A1A1A"/>
                <w:sz w:val="19"/>
                <w:szCs w:val="19"/>
              </w:rPr>
              <w:t>Entra</w:t>
            </w:r>
            <w:proofErr w:type="gramEnd"/>
            <w:r>
              <w:rPr>
                <w:color w:val="1A1A1A"/>
                <w:sz w:val="19"/>
                <w:szCs w:val="19"/>
              </w:rPr>
              <w:t xml:space="preserve"> and a provisioning cycle runs</w:t>
            </w:r>
          </w:p>
        </w:tc>
        <w:tc>
          <w:tcPr>
            <w:tcW w:w="5380" w:type="dxa"/>
            <w:shd w:val="clear" w:color="auto" w:fill="F2F5F9"/>
            <w:tcMar>
              <w:top w:w="60" w:type="dxa"/>
              <w:left w:w="100" w:type="dxa"/>
              <w:bottom w:w="60" w:type="dxa"/>
              <w:right w:w="100" w:type="dxa"/>
            </w:tcMar>
          </w:tcPr>
          <w:p w14:paraId="3583675E" w14:textId="77777777" w:rsidR="00F854A1" w:rsidRDefault="00000000">
            <w:pPr>
              <w:spacing w:before="40" w:after="40" w:line="252" w:lineRule="auto"/>
            </w:pPr>
            <w:proofErr w:type="gramStart"/>
            <w:r>
              <w:rPr>
                <w:color w:val="1A1A1A"/>
                <w:sz w:val="19"/>
                <w:szCs w:val="19"/>
              </w:rPr>
              <w:t>Account is</w:t>
            </w:r>
            <w:proofErr w:type="gramEnd"/>
            <w:r>
              <w:rPr>
                <w:color w:val="1A1A1A"/>
                <w:sz w:val="19"/>
                <w:szCs w:val="19"/>
              </w:rPr>
              <w:t xml:space="preserve"> deactivated in the domain. Re-assign afterwards and confirm it is reactivated.</w:t>
            </w:r>
          </w:p>
        </w:tc>
      </w:tr>
      <w:tr w:rsidR="00F854A1" w14:paraId="24AFE6E1" w14:textId="77777777">
        <w:tblPrEx>
          <w:tblCellMar>
            <w:top w:w="0" w:type="dxa"/>
            <w:bottom w:w="0" w:type="dxa"/>
          </w:tblCellMar>
        </w:tblPrEx>
        <w:trPr>
          <w:cantSplit/>
        </w:trPr>
        <w:tc>
          <w:tcPr>
            <w:tcW w:w="700" w:type="dxa"/>
            <w:shd w:val="clear" w:color="auto" w:fill="FFFFFF"/>
            <w:tcMar>
              <w:top w:w="60" w:type="dxa"/>
              <w:left w:w="100" w:type="dxa"/>
              <w:bottom w:w="60" w:type="dxa"/>
              <w:right w:w="100" w:type="dxa"/>
            </w:tcMar>
          </w:tcPr>
          <w:p w14:paraId="4F767E14" w14:textId="77777777" w:rsidR="00F854A1" w:rsidRDefault="00000000">
            <w:pPr>
              <w:spacing w:before="40" w:after="40" w:line="252" w:lineRule="auto"/>
            </w:pPr>
            <w:r>
              <w:rPr>
                <w:b/>
                <w:bCs/>
                <w:color w:val="1A1A1A"/>
                <w:sz w:val="19"/>
                <w:szCs w:val="19"/>
              </w:rPr>
              <w:t>T-07</w:t>
            </w:r>
          </w:p>
        </w:tc>
        <w:tc>
          <w:tcPr>
            <w:tcW w:w="4000" w:type="dxa"/>
            <w:shd w:val="clear" w:color="auto" w:fill="FFFFFF"/>
            <w:tcMar>
              <w:top w:w="60" w:type="dxa"/>
              <w:left w:w="100" w:type="dxa"/>
              <w:bottom w:w="60" w:type="dxa"/>
              <w:right w:w="100" w:type="dxa"/>
            </w:tcMar>
          </w:tcPr>
          <w:p w14:paraId="0FCFA986" w14:textId="77777777" w:rsidR="00F854A1" w:rsidRDefault="00000000">
            <w:pPr>
              <w:spacing w:before="40" w:after="40" w:line="252" w:lineRule="auto"/>
            </w:pPr>
            <w:r>
              <w:rPr>
                <w:color w:val="1A1A1A"/>
                <w:sz w:val="19"/>
                <w:szCs w:val="19"/>
              </w:rPr>
              <w:t>A provisioned user's display name is changed in Entra</w:t>
            </w:r>
          </w:p>
        </w:tc>
        <w:tc>
          <w:tcPr>
            <w:tcW w:w="5380" w:type="dxa"/>
            <w:shd w:val="clear" w:color="auto" w:fill="FFFFFF"/>
            <w:tcMar>
              <w:top w:w="60" w:type="dxa"/>
              <w:left w:w="100" w:type="dxa"/>
              <w:bottom w:w="60" w:type="dxa"/>
              <w:right w:w="100" w:type="dxa"/>
            </w:tcMar>
          </w:tcPr>
          <w:p w14:paraId="2CA72E81" w14:textId="77777777" w:rsidR="00F854A1" w:rsidRDefault="00000000">
            <w:pPr>
              <w:spacing w:before="40" w:after="40" w:line="252" w:lineRule="auto"/>
            </w:pPr>
            <w:r>
              <w:rPr>
                <w:color w:val="1A1A1A"/>
                <w:sz w:val="19"/>
                <w:szCs w:val="19"/>
              </w:rPr>
              <w:t>The change reaches the domain on the next cycle.</w:t>
            </w:r>
          </w:p>
        </w:tc>
      </w:tr>
      <w:tr w:rsidR="00F854A1" w14:paraId="69AAD759" w14:textId="77777777">
        <w:tblPrEx>
          <w:tblCellMar>
            <w:top w:w="0" w:type="dxa"/>
            <w:bottom w:w="0" w:type="dxa"/>
          </w:tblCellMar>
        </w:tblPrEx>
        <w:trPr>
          <w:cantSplit/>
        </w:trPr>
        <w:tc>
          <w:tcPr>
            <w:tcW w:w="700" w:type="dxa"/>
            <w:shd w:val="clear" w:color="auto" w:fill="F2F5F9"/>
            <w:tcMar>
              <w:top w:w="60" w:type="dxa"/>
              <w:left w:w="100" w:type="dxa"/>
              <w:bottom w:w="60" w:type="dxa"/>
              <w:right w:w="100" w:type="dxa"/>
            </w:tcMar>
          </w:tcPr>
          <w:p w14:paraId="0B38FB51" w14:textId="77777777" w:rsidR="00F854A1" w:rsidRDefault="00000000">
            <w:pPr>
              <w:spacing w:before="40" w:after="40" w:line="252" w:lineRule="auto"/>
            </w:pPr>
            <w:r>
              <w:rPr>
                <w:b/>
                <w:bCs/>
                <w:color w:val="1A1A1A"/>
                <w:sz w:val="19"/>
                <w:szCs w:val="19"/>
              </w:rPr>
              <w:t>T-08</w:t>
            </w:r>
          </w:p>
        </w:tc>
        <w:tc>
          <w:tcPr>
            <w:tcW w:w="4000" w:type="dxa"/>
            <w:shd w:val="clear" w:color="auto" w:fill="F2F5F9"/>
            <w:tcMar>
              <w:top w:w="60" w:type="dxa"/>
              <w:left w:w="100" w:type="dxa"/>
              <w:bottom w:w="60" w:type="dxa"/>
              <w:right w:w="100" w:type="dxa"/>
            </w:tcMar>
          </w:tcPr>
          <w:p w14:paraId="240E0109" w14:textId="77777777" w:rsidR="00F854A1" w:rsidRDefault="00000000">
            <w:pPr>
              <w:spacing w:before="40" w:after="40" w:line="252" w:lineRule="auto"/>
            </w:pPr>
            <w:r>
              <w:rPr>
                <w:color w:val="1A1A1A"/>
                <w:sz w:val="19"/>
                <w:szCs w:val="19"/>
              </w:rPr>
              <w:t>Scheduled Fusion and integration processes run after the change</w:t>
            </w:r>
          </w:p>
        </w:tc>
        <w:tc>
          <w:tcPr>
            <w:tcW w:w="5380" w:type="dxa"/>
            <w:shd w:val="clear" w:color="auto" w:fill="F2F5F9"/>
            <w:tcMar>
              <w:top w:w="60" w:type="dxa"/>
              <w:left w:w="100" w:type="dxa"/>
              <w:bottom w:w="60" w:type="dxa"/>
              <w:right w:w="100" w:type="dxa"/>
            </w:tcMar>
          </w:tcPr>
          <w:p w14:paraId="484A68FF" w14:textId="77777777" w:rsidR="00F854A1" w:rsidRDefault="00000000">
            <w:pPr>
              <w:spacing w:before="40" w:after="40" w:line="252" w:lineRule="auto"/>
            </w:pPr>
            <w:r>
              <w:rPr>
                <w:color w:val="1A1A1A"/>
                <w:sz w:val="19"/>
                <w:szCs w:val="19"/>
              </w:rPr>
              <w:t>Unaffected. Machine traffic does not use interactive sign-</w:t>
            </w:r>
            <w:proofErr w:type="gramStart"/>
            <w:r>
              <w:rPr>
                <w:color w:val="1A1A1A"/>
                <w:sz w:val="19"/>
                <w:szCs w:val="19"/>
              </w:rPr>
              <w:t>in, but</w:t>
            </w:r>
            <w:proofErr w:type="gramEnd"/>
            <w:r>
              <w:rPr>
                <w:color w:val="1A1A1A"/>
                <w:sz w:val="19"/>
                <w:szCs w:val="19"/>
              </w:rPr>
              <w:t xml:space="preserve"> verify rather than assume.</w:t>
            </w:r>
          </w:p>
        </w:tc>
      </w:tr>
    </w:tbl>
    <w:p w14:paraId="5A1473EE" w14:textId="77777777" w:rsidR="00F854A1" w:rsidRDefault="00000000">
      <w:pPr>
        <w:pStyle w:val="Heading1"/>
        <w:pBdr>
          <w:bottom w:val="single" w:sz="10" w:space="4" w:color="C74634"/>
        </w:pBdr>
        <w:spacing w:before="320" w:after="140"/>
      </w:pPr>
      <w:r>
        <w:rPr>
          <w:b/>
          <w:bCs/>
          <w:color w:val="1F3864"/>
          <w:sz w:val="28"/>
          <w:szCs w:val="28"/>
        </w:rPr>
        <w:t>Rollback</w:t>
      </w:r>
    </w:p>
    <w:tbl>
      <w:tblPr>
        <w:tblW w:w="10080" w:type="dxa"/>
        <w:tblBorders>
          <w:top w:val="single" w:sz="4" w:space="0" w:color="B9C3D4"/>
          <w:left w:val="single" w:sz="4" w:space="0" w:color="B9C3D4"/>
          <w:bottom w:val="single" w:sz="4" w:space="0" w:color="B9C3D4"/>
          <w:right w:val="single" w:sz="4" w:space="0" w:color="B9C3D4"/>
          <w:insideH w:val="single" w:sz="2" w:space="0" w:color="D5DCE8"/>
          <w:insideV w:val="single" w:sz="2" w:space="0" w:color="D5DCE8"/>
        </w:tblBorders>
        <w:tblCellMar>
          <w:left w:w="10" w:type="dxa"/>
          <w:right w:w="10" w:type="dxa"/>
        </w:tblCellMar>
        <w:tblLook w:val="0000" w:firstRow="0" w:lastRow="0" w:firstColumn="0" w:lastColumn="0" w:noHBand="0" w:noVBand="0"/>
      </w:tblPr>
      <w:tblGrid>
        <w:gridCol w:w="2500"/>
        <w:gridCol w:w="4200"/>
        <w:gridCol w:w="3380"/>
      </w:tblGrid>
      <w:tr w:rsidR="00F854A1" w14:paraId="066E0A5B" w14:textId="77777777">
        <w:tblPrEx>
          <w:tblCellMar>
            <w:top w:w="0" w:type="dxa"/>
            <w:bottom w:w="0" w:type="dxa"/>
          </w:tblCellMar>
        </w:tblPrEx>
        <w:trPr>
          <w:cantSplit/>
          <w:tblHeader/>
        </w:trPr>
        <w:tc>
          <w:tcPr>
            <w:tcW w:w="2500" w:type="dxa"/>
            <w:shd w:val="clear" w:color="auto" w:fill="1F3864"/>
            <w:tcMar>
              <w:top w:w="60" w:type="dxa"/>
              <w:left w:w="100" w:type="dxa"/>
              <w:bottom w:w="60" w:type="dxa"/>
              <w:right w:w="100" w:type="dxa"/>
            </w:tcMar>
          </w:tcPr>
          <w:p w14:paraId="5DB0624D" w14:textId="77777777" w:rsidR="00F854A1" w:rsidRDefault="00000000">
            <w:pPr>
              <w:spacing w:before="40" w:after="40" w:line="252" w:lineRule="auto"/>
            </w:pPr>
            <w:r>
              <w:rPr>
                <w:b/>
                <w:bCs/>
                <w:color w:val="FFFFFF"/>
                <w:sz w:val="19"/>
                <w:szCs w:val="19"/>
              </w:rPr>
              <w:t>If the fault is in</w:t>
            </w:r>
          </w:p>
        </w:tc>
        <w:tc>
          <w:tcPr>
            <w:tcW w:w="4200" w:type="dxa"/>
            <w:shd w:val="clear" w:color="auto" w:fill="1F3864"/>
            <w:tcMar>
              <w:top w:w="60" w:type="dxa"/>
              <w:left w:w="100" w:type="dxa"/>
              <w:bottom w:w="60" w:type="dxa"/>
              <w:right w:w="100" w:type="dxa"/>
            </w:tcMar>
          </w:tcPr>
          <w:p w14:paraId="52B812F1" w14:textId="77777777" w:rsidR="00F854A1" w:rsidRDefault="00000000">
            <w:pPr>
              <w:spacing w:before="40" w:after="40" w:line="252" w:lineRule="auto"/>
            </w:pPr>
            <w:r>
              <w:rPr>
                <w:b/>
                <w:bCs/>
                <w:color w:val="FFFFFF"/>
                <w:sz w:val="19"/>
                <w:szCs w:val="19"/>
              </w:rPr>
              <w:t>Action</w:t>
            </w:r>
          </w:p>
        </w:tc>
        <w:tc>
          <w:tcPr>
            <w:tcW w:w="3380" w:type="dxa"/>
            <w:shd w:val="clear" w:color="auto" w:fill="1F3864"/>
            <w:tcMar>
              <w:top w:w="60" w:type="dxa"/>
              <w:left w:w="100" w:type="dxa"/>
              <w:bottom w:w="60" w:type="dxa"/>
              <w:right w:w="100" w:type="dxa"/>
            </w:tcMar>
          </w:tcPr>
          <w:p w14:paraId="7ABB81C3" w14:textId="77777777" w:rsidR="00F854A1" w:rsidRDefault="00000000">
            <w:pPr>
              <w:spacing w:before="40" w:after="40" w:line="252" w:lineRule="auto"/>
            </w:pPr>
            <w:r>
              <w:rPr>
                <w:b/>
                <w:bCs/>
                <w:color w:val="FFFFFF"/>
                <w:sz w:val="19"/>
                <w:szCs w:val="19"/>
              </w:rPr>
              <w:t>Effect</w:t>
            </w:r>
          </w:p>
        </w:tc>
      </w:tr>
      <w:tr w:rsidR="00F854A1" w14:paraId="733BCD51" w14:textId="77777777">
        <w:tblPrEx>
          <w:tblCellMar>
            <w:top w:w="0" w:type="dxa"/>
            <w:bottom w:w="0" w:type="dxa"/>
          </w:tblCellMar>
        </w:tblPrEx>
        <w:trPr>
          <w:cantSplit/>
        </w:trPr>
        <w:tc>
          <w:tcPr>
            <w:tcW w:w="2500" w:type="dxa"/>
            <w:shd w:val="clear" w:color="auto" w:fill="FFFFFF"/>
            <w:tcMar>
              <w:top w:w="60" w:type="dxa"/>
              <w:left w:w="100" w:type="dxa"/>
              <w:bottom w:w="60" w:type="dxa"/>
              <w:right w:w="100" w:type="dxa"/>
            </w:tcMar>
          </w:tcPr>
          <w:p w14:paraId="469009EB" w14:textId="77777777" w:rsidR="00F854A1" w:rsidRDefault="00000000">
            <w:pPr>
              <w:spacing w:before="40" w:after="40" w:line="252" w:lineRule="auto"/>
            </w:pPr>
            <w:r>
              <w:rPr>
                <w:b/>
                <w:bCs/>
                <w:color w:val="1A1A1A"/>
                <w:sz w:val="19"/>
                <w:szCs w:val="19"/>
              </w:rPr>
              <w:t>Step A6 — sign-in page</w:t>
            </w:r>
          </w:p>
        </w:tc>
        <w:tc>
          <w:tcPr>
            <w:tcW w:w="4200" w:type="dxa"/>
            <w:shd w:val="clear" w:color="auto" w:fill="FFFFFF"/>
            <w:tcMar>
              <w:top w:w="60" w:type="dxa"/>
              <w:left w:w="100" w:type="dxa"/>
              <w:bottom w:w="60" w:type="dxa"/>
              <w:right w:w="100" w:type="dxa"/>
            </w:tcMar>
          </w:tcPr>
          <w:p w14:paraId="1ED95371" w14:textId="77777777" w:rsidR="00F854A1" w:rsidRDefault="00000000">
            <w:pPr>
              <w:spacing w:before="40" w:after="40" w:line="252" w:lineRule="auto"/>
            </w:pPr>
            <w:r>
              <w:rPr>
                <w:color w:val="1A1A1A"/>
                <w:sz w:val="19"/>
                <w:szCs w:val="19"/>
              </w:rPr>
              <w:t>Remove the Entra identity provider from the Default Identity Provider Policy rule and save.</w:t>
            </w:r>
          </w:p>
        </w:tc>
        <w:tc>
          <w:tcPr>
            <w:tcW w:w="3380" w:type="dxa"/>
            <w:shd w:val="clear" w:color="auto" w:fill="FFFFFF"/>
            <w:tcMar>
              <w:top w:w="60" w:type="dxa"/>
              <w:left w:w="100" w:type="dxa"/>
              <w:bottom w:w="60" w:type="dxa"/>
              <w:right w:w="100" w:type="dxa"/>
            </w:tcMar>
          </w:tcPr>
          <w:p w14:paraId="1262CC14" w14:textId="77777777" w:rsidR="00F854A1" w:rsidRDefault="00000000">
            <w:pPr>
              <w:spacing w:before="40" w:after="40" w:line="252" w:lineRule="auto"/>
            </w:pPr>
            <w:r>
              <w:rPr>
                <w:color w:val="1A1A1A"/>
                <w:sz w:val="19"/>
                <w:szCs w:val="19"/>
              </w:rPr>
              <w:t>The sign-in page returns to the baseline immediately. No account is affected.</w:t>
            </w:r>
          </w:p>
        </w:tc>
      </w:tr>
      <w:tr w:rsidR="00F854A1" w14:paraId="3B6CF7B2" w14:textId="77777777">
        <w:tblPrEx>
          <w:tblCellMar>
            <w:top w:w="0" w:type="dxa"/>
            <w:bottom w:w="0" w:type="dxa"/>
          </w:tblCellMar>
        </w:tblPrEx>
        <w:trPr>
          <w:cantSplit/>
        </w:trPr>
        <w:tc>
          <w:tcPr>
            <w:tcW w:w="2500" w:type="dxa"/>
            <w:shd w:val="clear" w:color="auto" w:fill="F2F5F9"/>
            <w:tcMar>
              <w:top w:w="60" w:type="dxa"/>
              <w:left w:w="100" w:type="dxa"/>
              <w:bottom w:w="60" w:type="dxa"/>
              <w:right w:w="100" w:type="dxa"/>
            </w:tcMar>
          </w:tcPr>
          <w:p w14:paraId="58408327" w14:textId="77777777" w:rsidR="00F854A1" w:rsidRDefault="00000000">
            <w:pPr>
              <w:spacing w:before="40" w:after="40" w:line="252" w:lineRule="auto"/>
            </w:pPr>
            <w:r>
              <w:rPr>
                <w:b/>
                <w:bCs/>
                <w:color w:val="1A1A1A"/>
                <w:sz w:val="19"/>
                <w:szCs w:val="19"/>
              </w:rPr>
              <w:t>Steps A5 or earlier</w:t>
            </w:r>
          </w:p>
        </w:tc>
        <w:tc>
          <w:tcPr>
            <w:tcW w:w="4200" w:type="dxa"/>
            <w:shd w:val="clear" w:color="auto" w:fill="F2F5F9"/>
            <w:tcMar>
              <w:top w:w="60" w:type="dxa"/>
              <w:left w:w="100" w:type="dxa"/>
              <w:bottom w:w="60" w:type="dxa"/>
              <w:right w:w="100" w:type="dxa"/>
            </w:tcMar>
          </w:tcPr>
          <w:p w14:paraId="3DF44A35" w14:textId="77777777" w:rsidR="00F854A1" w:rsidRDefault="00000000">
            <w:pPr>
              <w:spacing w:before="40" w:after="40" w:line="252" w:lineRule="auto"/>
            </w:pPr>
            <w:r>
              <w:rPr>
                <w:color w:val="1A1A1A"/>
                <w:sz w:val="19"/>
                <w:szCs w:val="19"/>
              </w:rPr>
              <w:t xml:space="preserve">Deactivate the Entra identity provider in the </w:t>
            </w:r>
            <w:proofErr w:type="gramStart"/>
            <w:r>
              <w:rPr>
                <w:color w:val="1A1A1A"/>
                <w:sz w:val="19"/>
                <w:szCs w:val="19"/>
              </w:rPr>
              <w:t>domain, or</w:t>
            </w:r>
            <w:proofErr w:type="gramEnd"/>
            <w:r>
              <w:rPr>
                <w:color w:val="1A1A1A"/>
                <w:sz w:val="19"/>
                <w:szCs w:val="19"/>
              </w:rPr>
              <w:t xml:space="preserve"> leave it; it is not offered anywhere until Step A6.</w:t>
            </w:r>
          </w:p>
        </w:tc>
        <w:tc>
          <w:tcPr>
            <w:tcW w:w="3380" w:type="dxa"/>
            <w:shd w:val="clear" w:color="auto" w:fill="F2F5F9"/>
            <w:tcMar>
              <w:top w:w="60" w:type="dxa"/>
              <w:left w:w="100" w:type="dxa"/>
              <w:bottom w:w="60" w:type="dxa"/>
              <w:right w:w="100" w:type="dxa"/>
            </w:tcMar>
          </w:tcPr>
          <w:p w14:paraId="5FCFA154" w14:textId="77777777" w:rsidR="00F854A1" w:rsidRDefault="00000000">
            <w:pPr>
              <w:spacing w:before="40" w:after="40" w:line="252" w:lineRule="auto"/>
            </w:pPr>
            <w:proofErr w:type="gramStart"/>
            <w:r>
              <w:rPr>
                <w:color w:val="1A1A1A"/>
                <w:sz w:val="19"/>
                <w:szCs w:val="19"/>
              </w:rPr>
              <w:t>None visible</w:t>
            </w:r>
            <w:proofErr w:type="gramEnd"/>
            <w:r>
              <w:rPr>
                <w:color w:val="1A1A1A"/>
                <w:sz w:val="19"/>
                <w:szCs w:val="19"/>
              </w:rPr>
              <w:t>.</w:t>
            </w:r>
          </w:p>
        </w:tc>
      </w:tr>
      <w:tr w:rsidR="00F854A1" w14:paraId="6B55CBE9" w14:textId="77777777">
        <w:tblPrEx>
          <w:tblCellMar>
            <w:top w:w="0" w:type="dxa"/>
            <w:bottom w:w="0" w:type="dxa"/>
          </w:tblCellMar>
        </w:tblPrEx>
        <w:trPr>
          <w:cantSplit/>
        </w:trPr>
        <w:tc>
          <w:tcPr>
            <w:tcW w:w="2500" w:type="dxa"/>
            <w:shd w:val="clear" w:color="auto" w:fill="FFFFFF"/>
            <w:tcMar>
              <w:top w:w="60" w:type="dxa"/>
              <w:left w:w="100" w:type="dxa"/>
              <w:bottom w:w="60" w:type="dxa"/>
              <w:right w:w="100" w:type="dxa"/>
            </w:tcMar>
          </w:tcPr>
          <w:p w14:paraId="5E673BE2" w14:textId="77777777" w:rsidR="00F854A1" w:rsidRDefault="00000000">
            <w:pPr>
              <w:spacing w:before="40" w:after="40" w:line="252" w:lineRule="auto"/>
            </w:pPr>
            <w:r>
              <w:rPr>
                <w:b/>
                <w:bCs/>
                <w:color w:val="1A1A1A"/>
                <w:sz w:val="19"/>
                <w:szCs w:val="19"/>
              </w:rPr>
              <w:t>Step B5 or B6 — provisioning</w:t>
            </w:r>
          </w:p>
        </w:tc>
        <w:tc>
          <w:tcPr>
            <w:tcW w:w="4200" w:type="dxa"/>
            <w:shd w:val="clear" w:color="auto" w:fill="FFFFFF"/>
            <w:tcMar>
              <w:top w:w="60" w:type="dxa"/>
              <w:left w:w="100" w:type="dxa"/>
              <w:bottom w:w="60" w:type="dxa"/>
              <w:right w:w="100" w:type="dxa"/>
            </w:tcMar>
          </w:tcPr>
          <w:p w14:paraId="39712D3C" w14:textId="77777777" w:rsidR="00F854A1" w:rsidRDefault="00000000">
            <w:pPr>
              <w:spacing w:before="40" w:after="40" w:line="252" w:lineRule="auto"/>
            </w:pPr>
            <w:r>
              <w:rPr>
                <w:color w:val="1A1A1A"/>
                <w:sz w:val="19"/>
                <w:szCs w:val="19"/>
              </w:rPr>
              <w:t>Stop provisioning in Entra. Correct the mapping or assignment, then resume.</w:t>
            </w:r>
          </w:p>
        </w:tc>
        <w:tc>
          <w:tcPr>
            <w:tcW w:w="3380" w:type="dxa"/>
            <w:shd w:val="clear" w:color="auto" w:fill="FFFFFF"/>
            <w:tcMar>
              <w:top w:w="60" w:type="dxa"/>
              <w:left w:w="100" w:type="dxa"/>
              <w:bottom w:w="60" w:type="dxa"/>
              <w:right w:w="100" w:type="dxa"/>
            </w:tcMar>
          </w:tcPr>
          <w:p w14:paraId="45E1325C" w14:textId="77777777" w:rsidR="00F854A1" w:rsidRDefault="00000000">
            <w:pPr>
              <w:spacing w:before="40" w:after="40" w:line="252" w:lineRule="auto"/>
            </w:pPr>
            <w:r>
              <w:rPr>
                <w:color w:val="1A1A1A"/>
                <w:sz w:val="19"/>
                <w:szCs w:val="19"/>
              </w:rPr>
              <w:t>No further writes. Accounts already created remain and can be corrected in place or deactivated.</w:t>
            </w:r>
          </w:p>
        </w:tc>
      </w:tr>
      <w:tr w:rsidR="00F854A1" w14:paraId="6187B2C1" w14:textId="77777777">
        <w:tblPrEx>
          <w:tblCellMar>
            <w:top w:w="0" w:type="dxa"/>
            <w:bottom w:w="0" w:type="dxa"/>
          </w:tblCellMar>
        </w:tblPrEx>
        <w:trPr>
          <w:cantSplit/>
        </w:trPr>
        <w:tc>
          <w:tcPr>
            <w:tcW w:w="2500" w:type="dxa"/>
            <w:shd w:val="clear" w:color="auto" w:fill="F2F5F9"/>
            <w:tcMar>
              <w:top w:w="60" w:type="dxa"/>
              <w:left w:w="100" w:type="dxa"/>
              <w:bottom w:w="60" w:type="dxa"/>
              <w:right w:w="100" w:type="dxa"/>
            </w:tcMar>
          </w:tcPr>
          <w:p w14:paraId="557C9757" w14:textId="77777777" w:rsidR="00F854A1" w:rsidRDefault="00000000">
            <w:pPr>
              <w:spacing w:before="40" w:after="40" w:line="252" w:lineRule="auto"/>
            </w:pPr>
            <w:r>
              <w:rPr>
                <w:b/>
                <w:bCs/>
                <w:color w:val="1A1A1A"/>
                <w:sz w:val="19"/>
                <w:szCs w:val="19"/>
              </w:rPr>
              <w:t>Federated status on an account</w:t>
            </w:r>
          </w:p>
        </w:tc>
        <w:tc>
          <w:tcPr>
            <w:tcW w:w="4200" w:type="dxa"/>
            <w:shd w:val="clear" w:color="auto" w:fill="F2F5F9"/>
            <w:tcMar>
              <w:top w:w="60" w:type="dxa"/>
              <w:left w:w="100" w:type="dxa"/>
              <w:bottom w:w="60" w:type="dxa"/>
              <w:right w:w="100" w:type="dxa"/>
            </w:tcMar>
          </w:tcPr>
          <w:p w14:paraId="27C6BB73" w14:textId="77777777" w:rsidR="00F854A1" w:rsidRDefault="00000000">
            <w:pPr>
              <w:spacing w:before="40" w:after="40" w:line="252" w:lineRule="auto"/>
            </w:pPr>
            <w:r>
              <w:rPr>
                <w:color w:val="1A1A1A"/>
                <w:sz w:val="19"/>
                <w:szCs w:val="19"/>
              </w:rPr>
              <w:t>Clear the federated flag on the affected account in the domain console.</w:t>
            </w:r>
          </w:p>
        </w:tc>
        <w:tc>
          <w:tcPr>
            <w:tcW w:w="3380" w:type="dxa"/>
            <w:shd w:val="clear" w:color="auto" w:fill="F2F5F9"/>
            <w:tcMar>
              <w:top w:w="60" w:type="dxa"/>
              <w:left w:w="100" w:type="dxa"/>
              <w:bottom w:w="60" w:type="dxa"/>
              <w:right w:w="100" w:type="dxa"/>
            </w:tcMar>
          </w:tcPr>
          <w:p w14:paraId="0E11F243" w14:textId="77777777" w:rsidR="00F854A1" w:rsidRDefault="00000000">
            <w:pPr>
              <w:spacing w:before="40" w:after="40" w:line="252" w:lineRule="auto"/>
            </w:pPr>
            <w:r>
              <w:rPr>
                <w:color w:val="1A1A1A"/>
                <w:sz w:val="19"/>
                <w:szCs w:val="19"/>
              </w:rPr>
              <w:t>The account can use a local credential again — for emergency use only, and re-provision afterwards.</w:t>
            </w:r>
          </w:p>
        </w:tc>
      </w:tr>
    </w:tbl>
    <w:p w14:paraId="2DE17BB8" w14:textId="77777777" w:rsidR="00F854A1" w:rsidRDefault="00000000">
      <w:pPr>
        <w:pStyle w:val="Heading1"/>
        <w:pBdr>
          <w:bottom w:val="single" w:sz="10" w:space="4" w:color="C74634"/>
        </w:pBdr>
        <w:spacing w:before="320" w:after="140"/>
      </w:pPr>
      <w:r>
        <w:rPr>
          <w:b/>
          <w:bCs/>
          <w:color w:val="1F3864"/>
          <w:sz w:val="28"/>
          <w:szCs w:val="28"/>
        </w:rPr>
        <w:lastRenderedPageBreak/>
        <w:t>Risks and open points</w:t>
      </w:r>
    </w:p>
    <w:tbl>
      <w:tblPr>
        <w:tblW w:w="10080" w:type="dxa"/>
        <w:tblBorders>
          <w:top w:val="single" w:sz="4" w:space="0" w:color="B9C3D4"/>
          <w:left w:val="single" w:sz="4" w:space="0" w:color="B9C3D4"/>
          <w:bottom w:val="single" w:sz="4" w:space="0" w:color="B9C3D4"/>
          <w:right w:val="single" w:sz="4" w:space="0" w:color="B9C3D4"/>
          <w:insideH w:val="single" w:sz="2" w:space="0" w:color="D5DCE8"/>
          <w:insideV w:val="single" w:sz="2" w:space="0" w:color="D5DCE8"/>
        </w:tblBorders>
        <w:tblCellMar>
          <w:left w:w="10" w:type="dxa"/>
          <w:right w:w="10" w:type="dxa"/>
        </w:tblCellMar>
        <w:tblLook w:val="0000" w:firstRow="0" w:lastRow="0" w:firstColumn="0" w:lastColumn="0" w:noHBand="0" w:noVBand="0"/>
      </w:tblPr>
      <w:tblGrid>
        <w:gridCol w:w="600"/>
        <w:gridCol w:w="4500"/>
        <w:gridCol w:w="4980"/>
      </w:tblGrid>
      <w:tr w:rsidR="00F854A1" w14:paraId="328FF5D6" w14:textId="77777777">
        <w:tblPrEx>
          <w:tblCellMar>
            <w:top w:w="0" w:type="dxa"/>
            <w:bottom w:w="0" w:type="dxa"/>
          </w:tblCellMar>
        </w:tblPrEx>
        <w:trPr>
          <w:cantSplit/>
          <w:tblHeader/>
        </w:trPr>
        <w:tc>
          <w:tcPr>
            <w:tcW w:w="600" w:type="dxa"/>
            <w:shd w:val="clear" w:color="auto" w:fill="1F3864"/>
            <w:tcMar>
              <w:top w:w="60" w:type="dxa"/>
              <w:left w:w="100" w:type="dxa"/>
              <w:bottom w:w="60" w:type="dxa"/>
              <w:right w:w="100" w:type="dxa"/>
            </w:tcMar>
          </w:tcPr>
          <w:p w14:paraId="3E540102" w14:textId="77777777" w:rsidR="00F854A1" w:rsidRDefault="00000000">
            <w:pPr>
              <w:spacing w:before="40" w:after="40" w:line="252" w:lineRule="auto"/>
            </w:pPr>
            <w:r>
              <w:rPr>
                <w:b/>
                <w:bCs/>
                <w:color w:val="FFFFFF"/>
                <w:sz w:val="19"/>
                <w:szCs w:val="19"/>
              </w:rPr>
              <w:t>ID</w:t>
            </w:r>
          </w:p>
        </w:tc>
        <w:tc>
          <w:tcPr>
            <w:tcW w:w="4500" w:type="dxa"/>
            <w:shd w:val="clear" w:color="auto" w:fill="1F3864"/>
            <w:tcMar>
              <w:top w:w="60" w:type="dxa"/>
              <w:left w:w="100" w:type="dxa"/>
              <w:bottom w:w="60" w:type="dxa"/>
              <w:right w:w="100" w:type="dxa"/>
            </w:tcMar>
          </w:tcPr>
          <w:p w14:paraId="37B78849" w14:textId="77777777" w:rsidR="00F854A1" w:rsidRDefault="00000000">
            <w:pPr>
              <w:spacing w:before="40" w:after="40" w:line="252" w:lineRule="auto"/>
            </w:pPr>
            <w:r>
              <w:rPr>
                <w:b/>
                <w:bCs/>
                <w:color w:val="FFFFFF"/>
                <w:sz w:val="19"/>
                <w:szCs w:val="19"/>
              </w:rPr>
              <w:t>Item</w:t>
            </w:r>
          </w:p>
        </w:tc>
        <w:tc>
          <w:tcPr>
            <w:tcW w:w="4980" w:type="dxa"/>
            <w:shd w:val="clear" w:color="auto" w:fill="1F3864"/>
            <w:tcMar>
              <w:top w:w="60" w:type="dxa"/>
              <w:left w:w="100" w:type="dxa"/>
              <w:bottom w:w="60" w:type="dxa"/>
              <w:right w:w="100" w:type="dxa"/>
            </w:tcMar>
          </w:tcPr>
          <w:p w14:paraId="16F43B34" w14:textId="77777777" w:rsidR="00F854A1" w:rsidRDefault="00000000">
            <w:pPr>
              <w:spacing w:before="40" w:after="40" w:line="252" w:lineRule="auto"/>
            </w:pPr>
            <w:r>
              <w:rPr>
                <w:b/>
                <w:bCs/>
                <w:color w:val="FFFFFF"/>
                <w:sz w:val="19"/>
                <w:szCs w:val="19"/>
              </w:rPr>
              <w:t>Position</w:t>
            </w:r>
          </w:p>
        </w:tc>
      </w:tr>
      <w:tr w:rsidR="00F854A1" w14:paraId="6814FB22" w14:textId="77777777">
        <w:tblPrEx>
          <w:tblCellMar>
            <w:top w:w="0" w:type="dxa"/>
            <w:bottom w:w="0" w:type="dxa"/>
          </w:tblCellMar>
        </w:tblPrEx>
        <w:trPr>
          <w:cantSplit/>
        </w:trPr>
        <w:tc>
          <w:tcPr>
            <w:tcW w:w="600" w:type="dxa"/>
            <w:shd w:val="clear" w:color="auto" w:fill="FFFFFF"/>
            <w:tcMar>
              <w:top w:w="60" w:type="dxa"/>
              <w:left w:w="100" w:type="dxa"/>
              <w:bottom w:w="60" w:type="dxa"/>
              <w:right w:w="100" w:type="dxa"/>
            </w:tcMar>
          </w:tcPr>
          <w:p w14:paraId="57D6D235" w14:textId="77777777" w:rsidR="00F854A1" w:rsidRDefault="00000000">
            <w:pPr>
              <w:spacing w:before="40" w:after="40" w:line="252" w:lineRule="auto"/>
            </w:pPr>
            <w:r>
              <w:rPr>
                <w:b/>
                <w:bCs/>
                <w:color w:val="1A1A1A"/>
                <w:sz w:val="19"/>
                <w:szCs w:val="19"/>
              </w:rPr>
              <w:t>R1</w:t>
            </w:r>
          </w:p>
        </w:tc>
        <w:tc>
          <w:tcPr>
            <w:tcW w:w="4500" w:type="dxa"/>
            <w:shd w:val="clear" w:color="auto" w:fill="FFFFFF"/>
            <w:tcMar>
              <w:top w:w="60" w:type="dxa"/>
              <w:left w:w="100" w:type="dxa"/>
              <w:bottom w:w="60" w:type="dxa"/>
              <w:right w:w="100" w:type="dxa"/>
            </w:tcMar>
          </w:tcPr>
          <w:p w14:paraId="674B0F52" w14:textId="77777777" w:rsidR="00F854A1" w:rsidRDefault="00000000">
            <w:pPr>
              <w:spacing w:before="40" w:after="40" w:line="252" w:lineRule="auto"/>
            </w:pPr>
            <w:r>
              <w:rPr>
                <w:color w:val="1A1A1A"/>
                <w:sz w:val="19"/>
                <w:szCs w:val="19"/>
              </w:rPr>
              <w:t>Fusion is the source of worker records. SCIM from Entra creates and updates accounts in a domain whose population Fusion also manages.</w:t>
            </w:r>
          </w:p>
        </w:tc>
        <w:tc>
          <w:tcPr>
            <w:tcW w:w="4980" w:type="dxa"/>
            <w:shd w:val="clear" w:color="auto" w:fill="FFFFFF"/>
            <w:tcMar>
              <w:top w:w="60" w:type="dxa"/>
              <w:left w:w="100" w:type="dxa"/>
              <w:bottom w:w="60" w:type="dxa"/>
              <w:right w:w="100" w:type="dxa"/>
            </w:tcMar>
          </w:tcPr>
          <w:p w14:paraId="4597B559" w14:textId="77777777" w:rsidR="00F854A1" w:rsidRDefault="00000000">
            <w:pPr>
              <w:spacing w:before="40" w:after="40" w:line="252" w:lineRule="auto"/>
            </w:pPr>
            <w:r>
              <w:rPr>
                <w:color w:val="1A1A1A"/>
                <w:sz w:val="19"/>
                <w:szCs w:val="19"/>
              </w:rPr>
              <w:t xml:space="preserve">Decide before Step B5 which system owns which </w:t>
            </w:r>
            <w:proofErr w:type="gramStart"/>
            <w:r>
              <w:rPr>
                <w:color w:val="1A1A1A"/>
                <w:sz w:val="19"/>
                <w:szCs w:val="19"/>
              </w:rPr>
              <w:t>attributes, and</w:t>
            </w:r>
            <w:proofErr w:type="gramEnd"/>
            <w:r>
              <w:rPr>
                <w:color w:val="1A1A1A"/>
                <w:sz w:val="19"/>
                <w:szCs w:val="19"/>
              </w:rPr>
              <w:t xml:space="preserve"> confirm that Entra-provisioned accounts are provisioned into Fusion with the right roles by the existing Fusion process. Provisioning an identity-domain account does not by itself grant any Fusion role.</w:t>
            </w:r>
          </w:p>
        </w:tc>
      </w:tr>
      <w:tr w:rsidR="00F854A1" w14:paraId="5385CBB2" w14:textId="77777777">
        <w:tblPrEx>
          <w:tblCellMar>
            <w:top w:w="0" w:type="dxa"/>
            <w:bottom w:w="0" w:type="dxa"/>
          </w:tblCellMar>
        </w:tblPrEx>
        <w:trPr>
          <w:cantSplit/>
        </w:trPr>
        <w:tc>
          <w:tcPr>
            <w:tcW w:w="600" w:type="dxa"/>
            <w:shd w:val="clear" w:color="auto" w:fill="F2F5F9"/>
            <w:tcMar>
              <w:top w:w="60" w:type="dxa"/>
              <w:left w:w="100" w:type="dxa"/>
              <w:bottom w:w="60" w:type="dxa"/>
              <w:right w:w="100" w:type="dxa"/>
            </w:tcMar>
          </w:tcPr>
          <w:p w14:paraId="07F34576" w14:textId="77777777" w:rsidR="00F854A1" w:rsidRDefault="00000000">
            <w:pPr>
              <w:spacing w:before="40" w:after="40" w:line="252" w:lineRule="auto"/>
            </w:pPr>
            <w:r>
              <w:rPr>
                <w:b/>
                <w:bCs/>
                <w:color w:val="1A1A1A"/>
                <w:sz w:val="19"/>
                <w:szCs w:val="19"/>
              </w:rPr>
              <w:t>R2</w:t>
            </w:r>
          </w:p>
        </w:tc>
        <w:tc>
          <w:tcPr>
            <w:tcW w:w="4500" w:type="dxa"/>
            <w:shd w:val="clear" w:color="auto" w:fill="F2F5F9"/>
            <w:tcMar>
              <w:top w:w="60" w:type="dxa"/>
              <w:left w:w="100" w:type="dxa"/>
              <w:bottom w:w="60" w:type="dxa"/>
              <w:right w:w="100" w:type="dxa"/>
            </w:tcMar>
          </w:tcPr>
          <w:p w14:paraId="1ABC67E2" w14:textId="77777777" w:rsidR="00F854A1" w:rsidRDefault="00000000">
            <w:pPr>
              <w:spacing w:before="40" w:after="40" w:line="252" w:lineRule="auto"/>
            </w:pPr>
            <w:r>
              <w:rPr>
                <w:color w:val="1A1A1A"/>
                <w:sz w:val="19"/>
                <w:szCs w:val="19"/>
              </w:rPr>
              <w:t xml:space="preserve">The production domain holds eight accounts because production is not yet </w:t>
            </w:r>
            <w:proofErr w:type="gramStart"/>
            <w:r>
              <w:rPr>
                <w:color w:val="1A1A1A"/>
                <w:sz w:val="19"/>
                <w:szCs w:val="19"/>
              </w:rPr>
              <w:t>live</w:t>
            </w:r>
            <w:proofErr w:type="gramEnd"/>
            <w:r>
              <w:rPr>
                <w:color w:val="1A1A1A"/>
                <w:sz w:val="19"/>
                <w:szCs w:val="19"/>
              </w:rPr>
              <w:t>. The first provisioning cycle is the initial load of the go-live population.</w:t>
            </w:r>
          </w:p>
        </w:tc>
        <w:tc>
          <w:tcPr>
            <w:tcW w:w="4980" w:type="dxa"/>
            <w:shd w:val="clear" w:color="auto" w:fill="F2F5F9"/>
            <w:tcMar>
              <w:top w:w="60" w:type="dxa"/>
              <w:left w:w="100" w:type="dxa"/>
              <w:bottom w:w="60" w:type="dxa"/>
              <w:right w:w="100" w:type="dxa"/>
            </w:tcMar>
          </w:tcPr>
          <w:p w14:paraId="48E9FC6D" w14:textId="77777777" w:rsidR="00F854A1" w:rsidRDefault="00000000">
            <w:pPr>
              <w:spacing w:before="40" w:after="40" w:line="252" w:lineRule="auto"/>
            </w:pPr>
            <w:r>
              <w:rPr>
                <w:color w:val="1A1A1A"/>
                <w:sz w:val="19"/>
                <w:szCs w:val="19"/>
              </w:rPr>
              <w:t>Complete Part B early enough before 1 November that the full go-live population has been provisioned, reconciled against the assigned groups and signed in at least once through Entra. A provisioning fault found in the final week becomes a go-live risk.</w:t>
            </w:r>
          </w:p>
        </w:tc>
      </w:tr>
      <w:tr w:rsidR="00F854A1" w14:paraId="6342F435" w14:textId="77777777">
        <w:tblPrEx>
          <w:tblCellMar>
            <w:top w:w="0" w:type="dxa"/>
            <w:bottom w:w="0" w:type="dxa"/>
          </w:tblCellMar>
        </w:tblPrEx>
        <w:trPr>
          <w:cantSplit/>
        </w:trPr>
        <w:tc>
          <w:tcPr>
            <w:tcW w:w="600" w:type="dxa"/>
            <w:shd w:val="clear" w:color="auto" w:fill="FFFFFF"/>
            <w:tcMar>
              <w:top w:w="60" w:type="dxa"/>
              <w:left w:w="100" w:type="dxa"/>
              <w:bottom w:w="60" w:type="dxa"/>
              <w:right w:w="100" w:type="dxa"/>
            </w:tcMar>
          </w:tcPr>
          <w:p w14:paraId="4EE44D4C" w14:textId="77777777" w:rsidR="00F854A1" w:rsidRDefault="00000000">
            <w:pPr>
              <w:spacing w:before="40" w:after="40" w:line="252" w:lineRule="auto"/>
            </w:pPr>
            <w:r>
              <w:rPr>
                <w:b/>
                <w:bCs/>
                <w:color w:val="1A1A1A"/>
                <w:sz w:val="19"/>
                <w:szCs w:val="19"/>
              </w:rPr>
              <w:t>R3</w:t>
            </w:r>
          </w:p>
        </w:tc>
        <w:tc>
          <w:tcPr>
            <w:tcW w:w="4500" w:type="dxa"/>
            <w:shd w:val="clear" w:color="auto" w:fill="FFFFFF"/>
            <w:tcMar>
              <w:top w:w="60" w:type="dxa"/>
              <w:left w:w="100" w:type="dxa"/>
              <w:bottom w:w="60" w:type="dxa"/>
              <w:right w:w="100" w:type="dxa"/>
            </w:tcMar>
          </w:tcPr>
          <w:p w14:paraId="27762A16" w14:textId="77777777" w:rsidR="00F854A1" w:rsidRDefault="00000000">
            <w:pPr>
              <w:spacing w:before="40" w:after="40" w:line="252" w:lineRule="auto"/>
            </w:pPr>
            <w:r>
              <w:rPr>
                <w:color w:val="1A1A1A"/>
                <w:sz w:val="19"/>
                <w:szCs w:val="19"/>
              </w:rPr>
              <w:t>Identity matching depends on the Section 4 decision.</w:t>
            </w:r>
          </w:p>
        </w:tc>
        <w:tc>
          <w:tcPr>
            <w:tcW w:w="4980" w:type="dxa"/>
            <w:shd w:val="clear" w:color="auto" w:fill="FFFFFF"/>
            <w:tcMar>
              <w:top w:w="60" w:type="dxa"/>
              <w:left w:w="100" w:type="dxa"/>
              <w:bottom w:w="60" w:type="dxa"/>
              <w:right w:w="100" w:type="dxa"/>
            </w:tcMar>
          </w:tcPr>
          <w:p w14:paraId="7B3960C9" w14:textId="77777777" w:rsidR="00F854A1" w:rsidRDefault="00000000">
            <w:pPr>
              <w:spacing w:before="40" w:after="40" w:line="252" w:lineRule="auto"/>
            </w:pPr>
            <w:r>
              <w:rPr>
                <w:color w:val="1A1A1A"/>
                <w:sz w:val="19"/>
                <w:szCs w:val="19"/>
              </w:rPr>
              <w:t>Verify primary email in the console before Step A4, apply the chosen option consistently at Steps A4 and A5, and prove it with the pilot user before assigning groups.</w:t>
            </w:r>
          </w:p>
        </w:tc>
      </w:tr>
      <w:tr w:rsidR="00F854A1" w14:paraId="2BFAF011" w14:textId="77777777">
        <w:tblPrEx>
          <w:tblCellMar>
            <w:top w:w="0" w:type="dxa"/>
            <w:bottom w:w="0" w:type="dxa"/>
          </w:tblCellMar>
        </w:tblPrEx>
        <w:trPr>
          <w:cantSplit/>
        </w:trPr>
        <w:tc>
          <w:tcPr>
            <w:tcW w:w="600" w:type="dxa"/>
            <w:shd w:val="clear" w:color="auto" w:fill="F2F5F9"/>
            <w:tcMar>
              <w:top w:w="60" w:type="dxa"/>
              <w:left w:w="100" w:type="dxa"/>
              <w:bottom w:w="60" w:type="dxa"/>
              <w:right w:w="100" w:type="dxa"/>
            </w:tcMar>
          </w:tcPr>
          <w:p w14:paraId="1A9F7264" w14:textId="77777777" w:rsidR="00F854A1" w:rsidRDefault="00000000">
            <w:pPr>
              <w:spacing w:before="40" w:after="40" w:line="252" w:lineRule="auto"/>
            </w:pPr>
            <w:r>
              <w:rPr>
                <w:b/>
                <w:bCs/>
                <w:color w:val="1A1A1A"/>
                <w:sz w:val="19"/>
                <w:szCs w:val="19"/>
              </w:rPr>
              <w:t>R4</w:t>
            </w:r>
          </w:p>
        </w:tc>
        <w:tc>
          <w:tcPr>
            <w:tcW w:w="4500" w:type="dxa"/>
            <w:shd w:val="clear" w:color="auto" w:fill="F2F5F9"/>
            <w:tcMar>
              <w:top w:w="60" w:type="dxa"/>
              <w:left w:w="100" w:type="dxa"/>
              <w:bottom w:w="60" w:type="dxa"/>
              <w:right w:w="100" w:type="dxa"/>
            </w:tcMar>
          </w:tcPr>
          <w:p w14:paraId="71F437B3" w14:textId="77777777" w:rsidR="00F854A1" w:rsidRDefault="00000000">
            <w:pPr>
              <w:spacing w:before="40" w:after="40" w:line="252" w:lineRule="auto"/>
            </w:pPr>
            <w:proofErr w:type="spellStart"/>
            <w:r>
              <w:rPr>
                <w:color w:val="1A1A1A"/>
                <w:sz w:val="19"/>
                <w:szCs w:val="19"/>
              </w:rPr>
              <w:t>Unassignment</w:t>
            </w:r>
            <w:proofErr w:type="spellEnd"/>
            <w:r>
              <w:rPr>
                <w:color w:val="1A1A1A"/>
                <w:sz w:val="19"/>
                <w:szCs w:val="19"/>
              </w:rPr>
              <w:t xml:space="preserve"> in Entra deactivates the production account.</w:t>
            </w:r>
          </w:p>
        </w:tc>
        <w:tc>
          <w:tcPr>
            <w:tcW w:w="4980" w:type="dxa"/>
            <w:shd w:val="clear" w:color="auto" w:fill="F2F5F9"/>
            <w:tcMar>
              <w:top w:w="60" w:type="dxa"/>
              <w:left w:w="100" w:type="dxa"/>
              <w:bottom w:w="60" w:type="dxa"/>
              <w:right w:w="100" w:type="dxa"/>
            </w:tcMar>
          </w:tcPr>
          <w:p w14:paraId="4109B1E8" w14:textId="77777777" w:rsidR="00F854A1" w:rsidRDefault="00000000">
            <w:pPr>
              <w:spacing w:before="40" w:after="40" w:line="252" w:lineRule="auto"/>
            </w:pPr>
            <w:r>
              <w:rPr>
                <w:color w:val="1A1A1A"/>
                <w:sz w:val="19"/>
                <w:szCs w:val="19"/>
              </w:rPr>
              <w:t>Restrict application ownership and assignment rights in Entra; treat assignment changes as production access changes.</w:t>
            </w:r>
          </w:p>
        </w:tc>
      </w:tr>
      <w:tr w:rsidR="00F854A1" w14:paraId="0D9F425D" w14:textId="77777777">
        <w:tblPrEx>
          <w:tblCellMar>
            <w:top w:w="0" w:type="dxa"/>
            <w:bottom w:w="0" w:type="dxa"/>
          </w:tblCellMar>
        </w:tblPrEx>
        <w:trPr>
          <w:cantSplit/>
        </w:trPr>
        <w:tc>
          <w:tcPr>
            <w:tcW w:w="600" w:type="dxa"/>
            <w:shd w:val="clear" w:color="auto" w:fill="FFFFFF"/>
            <w:tcMar>
              <w:top w:w="60" w:type="dxa"/>
              <w:left w:w="100" w:type="dxa"/>
              <w:bottom w:w="60" w:type="dxa"/>
              <w:right w:w="100" w:type="dxa"/>
            </w:tcMar>
          </w:tcPr>
          <w:p w14:paraId="54D88D66" w14:textId="77777777" w:rsidR="00F854A1" w:rsidRDefault="00000000">
            <w:pPr>
              <w:spacing w:before="40" w:after="40" w:line="252" w:lineRule="auto"/>
            </w:pPr>
            <w:r>
              <w:rPr>
                <w:b/>
                <w:bCs/>
                <w:color w:val="1A1A1A"/>
                <w:sz w:val="19"/>
                <w:szCs w:val="19"/>
              </w:rPr>
              <w:t>R5</w:t>
            </w:r>
          </w:p>
        </w:tc>
        <w:tc>
          <w:tcPr>
            <w:tcW w:w="4500" w:type="dxa"/>
            <w:shd w:val="clear" w:color="auto" w:fill="FFFFFF"/>
            <w:tcMar>
              <w:top w:w="60" w:type="dxa"/>
              <w:left w:w="100" w:type="dxa"/>
              <w:bottom w:w="60" w:type="dxa"/>
              <w:right w:w="100" w:type="dxa"/>
            </w:tcMar>
          </w:tcPr>
          <w:p w14:paraId="12B55800" w14:textId="77777777" w:rsidR="00F854A1" w:rsidRDefault="00000000">
            <w:pPr>
              <w:spacing w:before="40" w:after="40" w:line="252" w:lineRule="auto"/>
            </w:pPr>
            <w:r>
              <w:rPr>
                <w:color w:val="1A1A1A"/>
                <w:sz w:val="19"/>
                <w:szCs w:val="19"/>
              </w:rPr>
              <w:t>Client secret expiry or rotation silently stops provisioning.</w:t>
            </w:r>
          </w:p>
        </w:tc>
        <w:tc>
          <w:tcPr>
            <w:tcW w:w="4980" w:type="dxa"/>
            <w:shd w:val="clear" w:color="auto" w:fill="FFFFFF"/>
            <w:tcMar>
              <w:top w:w="60" w:type="dxa"/>
              <w:left w:w="100" w:type="dxa"/>
              <w:bottom w:w="60" w:type="dxa"/>
              <w:right w:w="100" w:type="dxa"/>
            </w:tcMar>
          </w:tcPr>
          <w:p w14:paraId="51FDB896" w14:textId="77777777" w:rsidR="00F854A1" w:rsidRDefault="00000000">
            <w:pPr>
              <w:spacing w:before="40" w:after="40" w:line="252" w:lineRule="auto"/>
            </w:pPr>
            <w:r>
              <w:rPr>
                <w:color w:val="1A1A1A"/>
                <w:sz w:val="19"/>
                <w:szCs w:val="19"/>
              </w:rPr>
              <w:t>Rotation date recorded at Step B2; regenerate the token and update Entra at every rotation.</w:t>
            </w:r>
          </w:p>
        </w:tc>
      </w:tr>
      <w:tr w:rsidR="00F854A1" w14:paraId="13F509BB" w14:textId="77777777">
        <w:tblPrEx>
          <w:tblCellMar>
            <w:top w:w="0" w:type="dxa"/>
            <w:bottom w:w="0" w:type="dxa"/>
          </w:tblCellMar>
        </w:tblPrEx>
        <w:trPr>
          <w:cantSplit/>
        </w:trPr>
        <w:tc>
          <w:tcPr>
            <w:tcW w:w="600" w:type="dxa"/>
            <w:shd w:val="clear" w:color="auto" w:fill="F2F5F9"/>
            <w:tcMar>
              <w:top w:w="60" w:type="dxa"/>
              <w:left w:w="100" w:type="dxa"/>
              <w:bottom w:w="60" w:type="dxa"/>
              <w:right w:w="100" w:type="dxa"/>
            </w:tcMar>
          </w:tcPr>
          <w:p w14:paraId="31C1A488" w14:textId="77777777" w:rsidR="00F854A1" w:rsidRDefault="00000000">
            <w:pPr>
              <w:spacing w:before="40" w:after="40" w:line="252" w:lineRule="auto"/>
            </w:pPr>
            <w:r>
              <w:rPr>
                <w:b/>
                <w:bCs/>
                <w:color w:val="1A1A1A"/>
                <w:sz w:val="19"/>
                <w:szCs w:val="19"/>
              </w:rPr>
              <w:t>R6</w:t>
            </w:r>
          </w:p>
        </w:tc>
        <w:tc>
          <w:tcPr>
            <w:tcW w:w="4500" w:type="dxa"/>
            <w:shd w:val="clear" w:color="auto" w:fill="F2F5F9"/>
            <w:tcMar>
              <w:top w:w="60" w:type="dxa"/>
              <w:left w:w="100" w:type="dxa"/>
              <w:bottom w:w="60" w:type="dxa"/>
              <w:right w:w="100" w:type="dxa"/>
            </w:tcMar>
          </w:tcPr>
          <w:p w14:paraId="6CD1B877" w14:textId="77777777" w:rsidR="00F854A1" w:rsidRDefault="00000000">
            <w:pPr>
              <w:spacing w:before="40" w:after="40" w:line="252" w:lineRule="auto"/>
            </w:pPr>
            <w:r>
              <w:rPr>
                <w:color w:val="1A1A1A"/>
                <w:sz w:val="19"/>
                <w:szCs w:val="19"/>
              </w:rPr>
              <w:t>Entra signing certificate expiry breaks sign-in.</w:t>
            </w:r>
          </w:p>
        </w:tc>
        <w:tc>
          <w:tcPr>
            <w:tcW w:w="4980" w:type="dxa"/>
            <w:shd w:val="clear" w:color="auto" w:fill="F2F5F9"/>
            <w:tcMar>
              <w:top w:w="60" w:type="dxa"/>
              <w:left w:w="100" w:type="dxa"/>
              <w:bottom w:w="60" w:type="dxa"/>
              <w:right w:w="100" w:type="dxa"/>
            </w:tcMar>
          </w:tcPr>
          <w:p w14:paraId="449E9CE0" w14:textId="77777777" w:rsidR="00F854A1" w:rsidRDefault="00000000">
            <w:pPr>
              <w:spacing w:before="40" w:after="40" w:line="252" w:lineRule="auto"/>
            </w:pPr>
            <w:r>
              <w:rPr>
                <w:color w:val="1A1A1A"/>
                <w:sz w:val="19"/>
                <w:szCs w:val="19"/>
              </w:rPr>
              <w:t>Expiry recorded at Step A3; schedule rotation so it does not fall in the same quarter as the non-production applications.</w:t>
            </w:r>
          </w:p>
        </w:tc>
      </w:tr>
      <w:tr w:rsidR="00F854A1" w14:paraId="090BF52F" w14:textId="77777777">
        <w:tblPrEx>
          <w:tblCellMar>
            <w:top w:w="0" w:type="dxa"/>
            <w:bottom w:w="0" w:type="dxa"/>
          </w:tblCellMar>
        </w:tblPrEx>
        <w:trPr>
          <w:cantSplit/>
        </w:trPr>
        <w:tc>
          <w:tcPr>
            <w:tcW w:w="600" w:type="dxa"/>
            <w:shd w:val="clear" w:color="auto" w:fill="FFFFFF"/>
            <w:tcMar>
              <w:top w:w="60" w:type="dxa"/>
              <w:left w:w="100" w:type="dxa"/>
              <w:bottom w:w="60" w:type="dxa"/>
              <w:right w:w="100" w:type="dxa"/>
            </w:tcMar>
          </w:tcPr>
          <w:p w14:paraId="3A8301EE" w14:textId="77777777" w:rsidR="00F854A1" w:rsidRDefault="00000000">
            <w:pPr>
              <w:spacing w:before="40" w:after="40" w:line="252" w:lineRule="auto"/>
            </w:pPr>
            <w:r>
              <w:rPr>
                <w:b/>
                <w:bCs/>
                <w:color w:val="1A1A1A"/>
                <w:sz w:val="19"/>
                <w:szCs w:val="19"/>
              </w:rPr>
              <w:t>R7</w:t>
            </w:r>
          </w:p>
        </w:tc>
        <w:tc>
          <w:tcPr>
            <w:tcW w:w="4500" w:type="dxa"/>
            <w:shd w:val="clear" w:color="auto" w:fill="FFFFFF"/>
            <w:tcMar>
              <w:top w:w="60" w:type="dxa"/>
              <w:left w:w="100" w:type="dxa"/>
              <w:bottom w:w="60" w:type="dxa"/>
              <w:right w:w="100" w:type="dxa"/>
            </w:tcMar>
          </w:tcPr>
          <w:p w14:paraId="4EEDEDBD" w14:textId="77777777" w:rsidR="00F854A1" w:rsidRDefault="00000000">
            <w:pPr>
              <w:spacing w:before="40" w:after="40" w:line="252" w:lineRule="auto"/>
            </w:pPr>
            <w:r>
              <w:rPr>
                <w:color w:val="1A1A1A"/>
                <w:sz w:val="19"/>
                <w:szCs w:val="19"/>
              </w:rPr>
              <w:t>The six local service and administrative accounts must never be assigned to the application or federated.</w:t>
            </w:r>
          </w:p>
        </w:tc>
        <w:tc>
          <w:tcPr>
            <w:tcW w:w="4980" w:type="dxa"/>
            <w:shd w:val="clear" w:color="auto" w:fill="FFFFFF"/>
            <w:tcMar>
              <w:top w:w="60" w:type="dxa"/>
              <w:left w:w="100" w:type="dxa"/>
              <w:bottom w:w="60" w:type="dxa"/>
              <w:right w:w="100" w:type="dxa"/>
            </w:tcMar>
          </w:tcPr>
          <w:p w14:paraId="18C6432E" w14:textId="77777777" w:rsidR="00F854A1" w:rsidRDefault="00000000">
            <w:pPr>
              <w:spacing w:before="40" w:after="40" w:line="252" w:lineRule="auto"/>
            </w:pPr>
            <w:r>
              <w:rPr>
                <w:color w:val="1A1A1A"/>
                <w:sz w:val="19"/>
                <w:szCs w:val="19"/>
              </w:rPr>
              <w:t>Verified at T-05 and at Step B6.</w:t>
            </w:r>
          </w:p>
        </w:tc>
      </w:tr>
    </w:tbl>
    <w:p w14:paraId="2AC9CBC4" w14:textId="77777777" w:rsidR="003D2C0A" w:rsidRDefault="003D2C0A"/>
    <w:sectPr w:rsidR="003D2C0A">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87AA4" w14:textId="77777777" w:rsidR="003D2C0A" w:rsidRDefault="003D2C0A">
      <w:r>
        <w:separator/>
      </w:r>
    </w:p>
  </w:endnote>
  <w:endnote w:type="continuationSeparator" w:id="0">
    <w:p w14:paraId="380D2296" w14:textId="77777777" w:rsidR="003D2C0A" w:rsidRDefault="003D2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D597" w14:textId="77777777" w:rsidR="00F854A1" w:rsidRDefault="00000000">
    <w:pPr>
      <w:jc w:val="center"/>
    </w:pPr>
    <w:proofErr w:type="gramStart"/>
    <w:r>
      <w:rPr>
        <w:color w:val="595959"/>
        <w:sz w:val="16"/>
        <w:szCs w:val="16"/>
      </w:rPr>
      <w:t>Internal  ·</w:t>
    </w:r>
    <w:proofErr w:type="gramEnd"/>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sidR="00007EA9">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09C48" w14:textId="77777777" w:rsidR="003D2C0A" w:rsidRDefault="003D2C0A">
      <w:r>
        <w:separator/>
      </w:r>
    </w:p>
  </w:footnote>
  <w:footnote w:type="continuationSeparator" w:id="0">
    <w:p w14:paraId="5EA02B37" w14:textId="77777777" w:rsidR="003D2C0A" w:rsidRDefault="003D2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5EAB" w14:textId="7C28E2D1" w:rsidR="00F854A1" w:rsidRDefault="00000000">
    <w:pPr>
      <w:pBdr>
        <w:bottom w:val="single" w:sz="4" w:space="4" w:color="C9D1E0"/>
      </w:pBdr>
      <w:spacing w:after="60"/>
      <w:jc w:val="right"/>
    </w:pPr>
    <w:r>
      <w:rPr>
        <w:color w:val="595959"/>
        <w:sz w:val="16"/>
        <w:szCs w:val="16"/>
      </w:rPr>
      <w:t xml:space="preserve">— Oracle Cloud </w:t>
    </w:r>
    <w:proofErr w:type="gramStart"/>
    <w:r>
      <w:rPr>
        <w:color w:val="595959"/>
        <w:sz w:val="16"/>
        <w:szCs w:val="16"/>
      </w:rPr>
      <w:t>Program  |</w:t>
    </w:r>
    <w:proofErr w:type="gramEnd"/>
    <w:r>
      <w:rPr>
        <w:color w:val="595959"/>
        <w:sz w:val="16"/>
        <w:szCs w:val="16"/>
      </w:rPr>
      <w:t xml:space="preserve">  Entra ID SSO and SCIM, Production Fusion Identity Domain v1.0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15D86"/>
    <w:multiLevelType w:val="hybridMultilevel"/>
    <w:tmpl w:val="33C445B2"/>
    <w:lvl w:ilvl="0" w:tplc="4CB65E50">
      <w:start w:val="1"/>
      <w:numFmt w:val="decimal"/>
      <w:lvlText w:val="%1."/>
      <w:lvlJc w:val="left"/>
      <w:pPr>
        <w:ind w:left="400" w:hanging="260"/>
      </w:pPr>
    </w:lvl>
    <w:lvl w:ilvl="1" w:tplc="BF244FCA">
      <w:numFmt w:val="decimal"/>
      <w:lvlText w:val=""/>
      <w:lvlJc w:val="left"/>
    </w:lvl>
    <w:lvl w:ilvl="2" w:tplc="7078088C">
      <w:numFmt w:val="decimal"/>
      <w:lvlText w:val=""/>
      <w:lvlJc w:val="left"/>
    </w:lvl>
    <w:lvl w:ilvl="3" w:tplc="2ACAF41A">
      <w:numFmt w:val="decimal"/>
      <w:lvlText w:val=""/>
      <w:lvlJc w:val="left"/>
    </w:lvl>
    <w:lvl w:ilvl="4" w:tplc="3F1C9300">
      <w:numFmt w:val="decimal"/>
      <w:lvlText w:val=""/>
      <w:lvlJc w:val="left"/>
    </w:lvl>
    <w:lvl w:ilvl="5" w:tplc="D2A6C3C4">
      <w:numFmt w:val="decimal"/>
      <w:lvlText w:val=""/>
      <w:lvlJc w:val="left"/>
    </w:lvl>
    <w:lvl w:ilvl="6" w:tplc="CE8EAF4C">
      <w:numFmt w:val="decimal"/>
      <w:lvlText w:val=""/>
      <w:lvlJc w:val="left"/>
    </w:lvl>
    <w:lvl w:ilvl="7" w:tplc="7E06099A">
      <w:numFmt w:val="decimal"/>
      <w:lvlText w:val=""/>
      <w:lvlJc w:val="left"/>
    </w:lvl>
    <w:lvl w:ilvl="8" w:tplc="D77676D4">
      <w:numFmt w:val="decimal"/>
      <w:lvlText w:val=""/>
      <w:lvlJc w:val="left"/>
    </w:lvl>
  </w:abstractNum>
  <w:abstractNum w:abstractNumId="1" w15:restartNumberingAfterBreak="0">
    <w:nsid w:val="14A53C41"/>
    <w:multiLevelType w:val="hybridMultilevel"/>
    <w:tmpl w:val="98EAD664"/>
    <w:lvl w:ilvl="0" w:tplc="382A1712">
      <w:start w:val="1"/>
      <w:numFmt w:val="bullet"/>
      <w:lvlText w:val="•"/>
      <w:lvlJc w:val="left"/>
      <w:pPr>
        <w:ind w:left="360" w:hanging="200"/>
      </w:pPr>
    </w:lvl>
    <w:lvl w:ilvl="1" w:tplc="879A8A84">
      <w:numFmt w:val="decimal"/>
      <w:lvlText w:val=""/>
      <w:lvlJc w:val="left"/>
    </w:lvl>
    <w:lvl w:ilvl="2" w:tplc="6166DD36">
      <w:numFmt w:val="decimal"/>
      <w:lvlText w:val=""/>
      <w:lvlJc w:val="left"/>
    </w:lvl>
    <w:lvl w:ilvl="3" w:tplc="F81858D4">
      <w:numFmt w:val="decimal"/>
      <w:lvlText w:val=""/>
      <w:lvlJc w:val="left"/>
    </w:lvl>
    <w:lvl w:ilvl="4" w:tplc="227E9FBA">
      <w:numFmt w:val="decimal"/>
      <w:lvlText w:val=""/>
      <w:lvlJc w:val="left"/>
    </w:lvl>
    <w:lvl w:ilvl="5" w:tplc="3092A55C">
      <w:numFmt w:val="decimal"/>
      <w:lvlText w:val=""/>
      <w:lvlJc w:val="left"/>
    </w:lvl>
    <w:lvl w:ilvl="6" w:tplc="6456CBE8">
      <w:numFmt w:val="decimal"/>
      <w:lvlText w:val=""/>
      <w:lvlJc w:val="left"/>
    </w:lvl>
    <w:lvl w:ilvl="7" w:tplc="F9200528">
      <w:numFmt w:val="decimal"/>
      <w:lvlText w:val=""/>
      <w:lvlJc w:val="left"/>
    </w:lvl>
    <w:lvl w:ilvl="8" w:tplc="19D0965E">
      <w:numFmt w:val="decimal"/>
      <w:lvlText w:val=""/>
      <w:lvlJc w:val="left"/>
    </w:lvl>
  </w:abstractNum>
  <w:abstractNum w:abstractNumId="2" w15:restartNumberingAfterBreak="0">
    <w:nsid w:val="1EDF09D5"/>
    <w:multiLevelType w:val="hybridMultilevel"/>
    <w:tmpl w:val="9DCC3C56"/>
    <w:lvl w:ilvl="0" w:tplc="29F049AC">
      <w:start w:val="1"/>
      <w:numFmt w:val="decimal"/>
      <w:lvlText w:val="%1."/>
      <w:lvlJc w:val="left"/>
      <w:pPr>
        <w:ind w:left="400" w:hanging="260"/>
      </w:pPr>
    </w:lvl>
    <w:lvl w:ilvl="1" w:tplc="E1B68F1C">
      <w:numFmt w:val="decimal"/>
      <w:lvlText w:val=""/>
      <w:lvlJc w:val="left"/>
    </w:lvl>
    <w:lvl w:ilvl="2" w:tplc="A10608A2">
      <w:numFmt w:val="decimal"/>
      <w:lvlText w:val=""/>
      <w:lvlJc w:val="left"/>
    </w:lvl>
    <w:lvl w:ilvl="3" w:tplc="ABA8F7F6">
      <w:numFmt w:val="decimal"/>
      <w:lvlText w:val=""/>
      <w:lvlJc w:val="left"/>
    </w:lvl>
    <w:lvl w:ilvl="4" w:tplc="646A9EBA">
      <w:numFmt w:val="decimal"/>
      <w:lvlText w:val=""/>
      <w:lvlJc w:val="left"/>
    </w:lvl>
    <w:lvl w:ilvl="5" w:tplc="EB7C90C2">
      <w:numFmt w:val="decimal"/>
      <w:lvlText w:val=""/>
      <w:lvlJc w:val="left"/>
    </w:lvl>
    <w:lvl w:ilvl="6" w:tplc="E41C8480">
      <w:numFmt w:val="decimal"/>
      <w:lvlText w:val=""/>
      <w:lvlJc w:val="left"/>
    </w:lvl>
    <w:lvl w:ilvl="7" w:tplc="9726FCC0">
      <w:numFmt w:val="decimal"/>
      <w:lvlText w:val=""/>
      <w:lvlJc w:val="left"/>
    </w:lvl>
    <w:lvl w:ilvl="8" w:tplc="FA6248DA">
      <w:numFmt w:val="decimal"/>
      <w:lvlText w:val=""/>
      <w:lvlJc w:val="left"/>
    </w:lvl>
  </w:abstractNum>
  <w:abstractNum w:abstractNumId="3" w15:restartNumberingAfterBreak="0">
    <w:nsid w:val="2B005DBA"/>
    <w:multiLevelType w:val="hybridMultilevel"/>
    <w:tmpl w:val="CC92A920"/>
    <w:lvl w:ilvl="0" w:tplc="BB34619E">
      <w:start w:val="1"/>
      <w:numFmt w:val="decimal"/>
      <w:lvlText w:val="%1."/>
      <w:lvlJc w:val="left"/>
      <w:pPr>
        <w:ind w:left="400" w:hanging="260"/>
      </w:pPr>
    </w:lvl>
    <w:lvl w:ilvl="1" w:tplc="7FF68A0C">
      <w:numFmt w:val="decimal"/>
      <w:lvlText w:val=""/>
      <w:lvlJc w:val="left"/>
    </w:lvl>
    <w:lvl w:ilvl="2" w:tplc="6B1C736E">
      <w:numFmt w:val="decimal"/>
      <w:lvlText w:val=""/>
      <w:lvlJc w:val="left"/>
    </w:lvl>
    <w:lvl w:ilvl="3" w:tplc="DE3C277C">
      <w:numFmt w:val="decimal"/>
      <w:lvlText w:val=""/>
      <w:lvlJc w:val="left"/>
    </w:lvl>
    <w:lvl w:ilvl="4" w:tplc="37984772">
      <w:numFmt w:val="decimal"/>
      <w:lvlText w:val=""/>
      <w:lvlJc w:val="left"/>
    </w:lvl>
    <w:lvl w:ilvl="5" w:tplc="36BE90CE">
      <w:numFmt w:val="decimal"/>
      <w:lvlText w:val=""/>
      <w:lvlJc w:val="left"/>
    </w:lvl>
    <w:lvl w:ilvl="6" w:tplc="CD3C2732">
      <w:numFmt w:val="decimal"/>
      <w:lvlText w:val=""/>
      <w:lvlJc w:val="left"/>
    </w:lvl>
    <w:lvl w:ilvl="7" w:tplc="0B52934E">
      <w:numFmt w:val="decimal"/>
      <w:lvlText w:val=""/>
      <w:lvlJc w:val="left"/>
    </w:lvl>
    <w:lvl w:ilvl="8" w:tplc="883286EA">
      <w:numFmt w:val="decimal"/>
      <w:lvlText w:val=""/>
      <w:lvlJc w:val="left"/>
    </w:lvl>
  </w:abstractNum>
  <w:abstractNum w:abstractNumId="4" w15:restartNumberingAfterBreak="0">
    <w:nsid w:val="313B715D"/>
    <w:multiLevelType w:val="hybridMultilevel"/>
    <w:tmpl w:val="7832A25A"/>
    <w:lvl w:ilvl="0" w:tplc="C7408FAE">
      <w:start w:val="1"/>
      <w:numFmt w:val="decimal"/>
      <w:lvlText w:val="%1."/>
      <w:lvlJc w:val="left"/>
      <w:pPr>
        <w:ind w:left="400" w:hanging="260"/>
      </w:pPr>
    </w:lvl>
    <w:lvl w:ilvl="1" w:tplc="6EAC5C42">
      <w:numFmt w:val="decimal"/>
      <w:lvlText w:val=""/>
      <w:lvlJc w:val="left"/>
    </w:lvl>
    <w:lvl w:ilvl="2" w:tplc="C6E48F88">
      <w:numFmt w:val="decimal"/>
      <w:lvlText w:val=""/>
      <w:lvlJc w:val="left"/>
    </w:lvl>
    <w:lvl w:ilvl="3" w:tplc="F802F29C">
      <w:numFmt w:val="decimal"/>
      <w:lvlText w:val=""/>
      <w:lvlJc w:val="left"/>
    </w:lvl>
    <w:lvl w:ilvl="4" w:tplc="CAA01238">
      <w:numFmt w:val="decimal"/>
      <w:lvlText w:val=""/>
      <w:lvlJc w:val="left"/>
    </w:lvl>
    <w:lvl w:ilvl="5" w:tplc="43243A5E">
      <w:numFmt w:val="decimal"/>
      <w:lvlText w:val=""/>
      <w:lvlJc w:val="left"/>
    </w:lvl>
    <w:lvl w:ilvl="6" w:tplc="B8A4F892">
      <w:numFmt w:val="decimal"/>
      <w:lvlText w:val=""/>
      <w:lvlJc w:val="left"/>
    </w:lvl>
    <w:lvl w:ilvl="7" w:tplc="905CBB60">
      <w:numFmt w:val="decimal"/>
      <w:lvlText w:val=""/>
      <w:lvlJc w:val="left"/>
    </w:lvl>
    <w:lvl w:ilvl="8" w:tplc="D6B8F82E">
      <w:numFmt w:val="decimal"/>
      <w:lvlText w:val=""/>
      <w:lvlJc w:val="left"/>
    </w:lvl>
  </w:abstractNum>
  <w:abstractNum w:abstractNumId="5" w15:restartNumberingAfterBreak="0">
    <w:nsid w:val="337C4CA6"/>
    <w:multiLevelType w:val="hybridMultilevel"/>
    <w:tmpl w:val="A802BFFE"/>
    <w:lvl w:ilvl="0" w:tplc="EB9EBD34">
      <w:start w:val="1"/>
      <w:numFmt w:val="decimal"/>
      <w:lvlText w:val="%1."/>
      <w:lvlJc w:val="left"/>
      <w:pPr>
        <w:ind w:left="400" w:hanging="260"/>
      </w:pPr>
    </w:lvl>
    <w:lvl w:ilvl="1" w:tplc="0150CCE4">
      <w:numFmt w:val="decimal"/>
      <w:lvlText w:val=""/>
      <w:lvlJc w:val="left"/>
    </w:lvl>
    <w:lvl w:ilvl="2" w:tplc="E06E78B2">
      <w:numFmt w:val="decimal"/>
      <w:lvlText w:val=""/>
      <w:lvlJc w:val="left"/>
    </w:lvl>
    <w:lvl w:ilvl="3" w:tplc="E0362EA4">
      <w:numFmt w:val="decimal"/>
      <w:lvlText w:val=""/>
      <w:lvlJc w:val="left"/>
    </w:lvl>
    <w:lvl w:ilvl="4" w:tplc="C5C002C0">
      <w:numFmt w:val="decimal"/>
      <w:lvlText w:val=""/>
      <w:lvlJc w:val="left"/>
    </w:lvl>
    <w:lvl w:ilvl="5" w:tplc="DCDECF72">
      <w:numFmt w:val="decimal"/>
      <w:lvlText w:val=""/>
      <w:lvlJc w:val="left"/>
    </w:lvl>
    <w:lvl w:ilvl="6" w:tplc="E8EA0806">
      <w:numFmt w:val="decimal"/>
      <w:lvlText w:val=""/>
      <w:lvlJc w:val="left"/>
    </w:lvl>
    <w:lvl w:ilvl="7" w:tplc="429E1F2C">
      <w:numFmt w:val="decimal"/>
      <w:lvlText w:val=""/>
      <w:lvlJc w:val="left"/>
    </w:lvl>
    <w:lvl w:ilvl="8" w:tplc="3138A4B0">
      <w:numFmt w:val="decimal"/>
      <w:lvlText w:val=""/>
      <w:lvlJc w:val="left"/>
    </w:lvl>
  </w:abstractNum>
  <w:abstractNum w:abstractNumId="6" w15:restartNumberingAfterBreak="0">
    <w:nsid w:val="35D44631"/>
    <w:multiLevelType w:val="hybridMultilevel"/>
    <w:tmpl w:val="376A5ED0"/>
    <w:lvl w:ilvl="0" w:tplc="EF32F8A2">
      <w:start w:val="1"/>
      <w:numFmt w:val="decimal"/>
      <w:lvlText w:val="%1."/>
      <w:lvlJc w:val="left"/>
      <w:pPr>
        <w:ind w:left="400" w:hanging="260"/>
      </w:pPr>
    </w:lvl>
    <w:lvl w:ilvl="1" w:tplc="28720D32">
      <w:numFmt w:val="decimal"/>
      <w:lvlText w:val=""/>
      <w:lvlJc w:val="left"/>
    </w:lvl>
    <w:lvl w:ilvl="2" w:tplc="A6CC7992">
      <w:numFmt w:val="decimal"/>
      <w:lvlText w:val=""/>
      <w:lvlJc w:val="left"/>
    </w:lvl>
    <w:lvl w:ilvl="3" w:tplc="4774A228">
      <w:numFmt w:val="decimal"/>
      <w:lvlText w:val=""/>
      <w:lvlJc w:val="left"/>
    </w:lvl>
    <w:lvl w:ilvl="4" w:tplc="4D3C8DE2">
      <w:numFmt w:val="decimal"/>
      <w:lvlText w:val=""/>
      <w:lvlJc w:val="left"/>
    </w:lvl>
    <w:lvl w:ilvl="5" w:tplc="A5DA3AD8">
      <w:numFmt w:val="decimal"/>
      <w:lvlText w:val=""/>
      <w:lvlJc w:val="left"/>
    </w:lvl>
    <w:lvl w:ilvl="6" w:tplc="BB10CE9C">
      <w:numFmt w:val="decimal"/>
      <w:lvlText w:val=""/>
      <w:lvlJc w:val="left"/>
    </w:lvl>
    <w:lvl w:ilvl="7" w:tplc="DA6AA298">
      <w:numFmt w:val="decimal"/>
      <w:lvlText w:val=""/>
      <w:lvlJc w:val="left"/>
    </w:lvl>
    <w:lvl w:ilvl="8" w:tplc="41FA7476">
      <w:numFmt w:val="decimal"/>
      <w:lvlText w:val=""/>
      <w:lvlJc w:val="left"/>
    </w:lvl>
  </w:abstractNum>
  <w:abstractNum w:abstractNumId="7" w15:restartNumberingAfterBreak="0">
    <w:nsid w:val="38E61CD0"/>
    <w:multiLevelType w:val="hybridMultilevel"/>
    <w:tmpl w:val="1F4E5696"/>
    <w:lvl w:ilvl="0" w:tplc="223A4E8C">
      <w:start w:val="1"/>
      <w:numFmt w:val="decimal"/>
      <w:lvlText w:val="%1."/>
      <w:lvlJc w:val="left"/>
      <w:pPr>
        <w:ind w:left="400" w:hanging="260"/>
      </w:pPr>
    </w:lvl>
    <w:lvl w:ilvl="1" w:tplc="DA1ADA96">
      <w:numFmt w:val="decimal"/>
      <w:lvlText w:val=""/>
      <w:lvlJc w:val="left"/>
    </w:lvl>
    <w:lvl w:ilvl="2" w:tplc="3112C550">
      <w:numFmt w:val="decimal"/>
      <w:lvlText w:val=""/>
      <w:lvlJc w:val="left"/>
    </w:lvl>
    <w:lvl w:ilvl="3" w:tplc="0842273E">
      <w:numFmt w:val="decimal"/>
      <w:lvlText w:val=""/>
      <w:lvlJc w:val="left"/>
    </w:lvl>
    <w:lvl w:ilvl="4" w:tplc="C884EB56">
      <w:numFmt w:val="decimal"/>
      <w:lvlText w:val=""/>
      <w:lvlJc w:val="left"/>
    </w:lvl>
    <w:lvl w:ilvl="5" w:tplc="E7787B8E">
      <w:numFmt w:val="decimal"/>
      <w:lvlText w:val=""/>
      <w:lvlJc w:val="left"/>
    </w:lvl>
    <w:lvl w:ilvl="6" w:tplc="69CAFCCE">
      <w:numFmt w:val="decimal"/>
      <w:lvlText w:val=""/>
      <w:lvlJc w:val="left"/>
    </w:lvl>
    <w:lvl w:ilvl="7" w:tplc="EFB0F93A">
      <w:numFmt w:val="decimal"/>
      <w:lvlText w:val=""/>
      <w:lvlJc w:val="left"/>
    </w:lvl>
    <w:lvl w:ilvl="8" w:tplc="D5E440EC">
      <w:numFmt w:val="decimal"/>
      <w:lvlText w:val=""/>
      <w:lvlJc w:val="left"/>
    </w:lvl>
  </w:abstractNum>
  <w:abstractNum w:abstractNumId="8" w15:restartNumberingAfterBreak="0">
    <w:nsid w:val="428C3BBC"/>
    <w:multiLevelType w:val="hybridMultilevel"/>
    <w:tmpl w:val="D6A61DE0"/>
    <w:lvl w:ilvl="0" w:tplc="81505D3A">
      <w:start w:val="1"/>
      <w:numFmt w:val="decimal"/>
      <w:lvlText w:val="%1."/>
      <w:lvlJc w:val="left"/>
      <w:pPr>
        <w:ind w:left="400" w:hanging="260"/>
      </w:pPr>
    </w:lvl>
    <w:lvl w:ilvl="1" w:tplc="F7B469E8">
      <w:numFmt w:val="decimal"/>
      <w:lvlText w:val=""/>
      <w:lvlJc w:val="left"/>
    </w:lvl>
    <w:lvl w:ilvl="2" w:tplc="484E5FC6">
      <w:numFmt w:val="decimal"/>
      <w:lvlText w:val=""/>
      <w:lvlJc w:val="left"/>
    </w:lvl>
    <w:lvl w:ilvl="3" w:tplc="8CE4B04C">
      <w:numFmt w:val="decimal"/>
      <w:lvlText w:val=""/>
      <w:lvlJc w:val="left"/>
    </w:lvl>
    <w:lvl w:ilvl="4" w:tplc="E8CA3C66">
      <w:numFmt w:val="decimal"/>
      <w:lvlText w:val=""/>
      <w:lvlJc w:val="left"/>
    </w:lvl>
    <w:lvl w:ilvl="5" w:tplc="73CCE32E">
      <w:numFmt w:val="decimal"/>
      <w:lvlText w:val=""/>
      <w:lvlJc w:val="left"/>
    </w:lvl>
    <w:lvl w:ilvl="6" w:tplc="0C440E68">
      <w:numFmt w:val="decimal"/>
      <w:lvlText w:val=""/>
      <w:lvlJc w:val="left"/>
    </w:lvl>
    <w:lvl w:ilvl="7" w:tplc="27D68C5A">
      <w:numFmt w:val="decimal"/>
      <w:lvlText w:val=""/>
      <w:lvlJc w:val="left"/>
    </w:lvl>
    <w:lvl w:ilvl="8" w:tplc="D026D92C">
      <w:numFmt w:val="decimal"/>
      <w:lvlText w:val=""/>
      <w:lvlJc w:val="left"/>
    </w:lvl>
  </w:abstractNum>
  <w:abstractNum w:abstractNumId="9" w15:restartNumberingAfterBreak="0">
    <w:nsid w:val="47F72030"/>
    <w:multiLevelType w:val="hybridMultilevel"/>
    <w:tmpl w:val="36548578"/>
    <w:lvl w:ilvl="0" w:tplc="DFF43E46">
      <w:start w:val="1"/>
      <w:numFmt w:val="decimal"/>
      <w:lvlText w:val="%1."/>
      <w:lvlJc w:val="left"/>
      <w:pPr>
        <w:ind w:left="400" w:hanging="260"/>
      </w:pPr>
    </w:lvl>
    <w:lvl w:ilvl="1" w:tplc="6C30CC00">
      <w:numFmt w:val="decimal"/>
      <w:lvlText w:val=""/>
      <w:lvlJc w:val="left"/>
    </w:lvl>
    <w:lvl w:ilvl="2" w:tplc="933AB532">
      <w:numFmt w:val="decimal"/>
      <w:lvlText w:val=""/>
      <w:lvlJc w:val="left"/>
    </w:lvl>
    <w:lvl w:ilvl="3" w:tplc="F3B40B92">
      <w:numFmt w:val="decimal"/>
      <w:lvlText w:val=""/>
      <w:lvlJc w:val="left"/>
    </w:lvl>
    <w:lvl w:ilvl="4" w:tplc="4FC221E8">
      <w:numFmt w:val="decimal"/>
      <w:lvlText w:val=""/>
      <w:lvlJc w:val="left"/>
    </w:lvl>
    <w:lvl w:ilvl="5" w:tplc="46CA46F6">
      <w:numFmt w:val="decimal"/>
      <w:lvlText w:val=""/>
      <w:lvlJc w:val="left"/>
    </w:lvl>
    <w:lvl w:ilvl="6" w:tplc="BA82C37E">
      <w:numFmt w:val="decimal"/>
      <w:lvlText w:val=""/>
      <w:lvlJc w:val="left"/>
    </w:lvl>
    <w:lvl w:ilvl="7" w:tplc="4DD698F2">
      <w:numFmt w:val="decimal"/>
      <w:lvlText w:val=""/>
      <w:lvlJc w:val="left"/>
    </w:lvl>
    <w:lvl w:ilvl="8" w:tplc="F7A88762">
      <w:numFmt w:val="decimal"/>
      <w:lvlText w:val=""/>
      <w:lvlJc w:val="left"/>
    </w:lvl>
  </w:abstractNum>
  <w:abstractNum w:abstractNumId="10" w15:restartNumberingAfterBreak="0">
    <w:nsid w:val="4C01135F"/>
    <w:multiLevelType w:val="hybridMultilevel"/>
    <w:tmpl w:val="B0589C0E"/>
    <w:lvl w:ilvl="0" w:tplc="546C10CC">
      <w:start w:val="1"/>
      <w:numFmt w:val="decimal"/>
      <w:lvlText w:val="%1."/>
      <w:lvlJc w:val="left"/>
      <w:pPr>
        <w:ind w:left="400" w:hanging="260"/>
      </w:pPr>
    </w:lvl>
    <w:lvl w:ilvl="1" w:tplc="DDC2EB68">
      <w:numFmt w:val="decimal"/>
      <w:lvlText w:val=""/>
      <w:lvlJc w:val="left"/>
    </w:lvl>
    <w:lvl w:ilvl="2" w:tplc="7A081814">
      <w:numFmt w:val="decimal"/>
      <w:lvlText w:val=""/>
      <w:lvlJc w:val="left"/>
    </w:lvl>
    <w:lvl w:ilvl="3" w:tplc="10BA0EBA">
      <w:numFmt w:val="decimal"/>
      <w:lvlText w:val=""/>
      <w:lvlJc w:val="left"/>
    </w:lvl>
    <w:lvl w:ilvl="4" w:tplc="7546890C">
      <w:numFmt w:val="decimal"/>
      <w:lvlText w:val=""/>
      <w:lvlJc w:val="left"/>
    </w:lvl>
    <w:lvl w:ilvl="5" w:tplc="13027132">
      <w:numFmt w:val="decimal"/>
      <w:lvlText w:val=""/>
      <w:lvlJc w:val="left"/>
    </w:lvl>
    <w:lvl w:ilvl="6" w:tplc="F6C21D2C">
      <w:numFmt w:val="decimal"/>
      <w:lvlText w:val=""/>
      <w:lvlJc w:val="left"/>
    </w:lvl>
    <w:lvl w:ilvl="7" w:tplc="781407D4">
      <w:numFmt w:val="decimal"/>
      <w:lvlText w:val=""/>
      <w:lvlJc w:val="left"/>
    </w:lvl>
    <w:lvl w:ilvl="8" w:tplc="A64C2C10">
      <w:numFmt w:val="decimal"/>
      <w:lvlText w:val=""/>
      <w:lvlJc w:val="left"/>
    </w:lvl>
  </w:abstractNum>
  <w:abstractNum w:abstractNumId="11" w15:restartNumberingAfterBreak="0">
    <w:nsid w:val="5E693DF9"/>
    <w:multiLevelType w:val="hybridMultilevel"/>
    <w:tmpl w:val="7B12CE3A"/>
    <w:lvl w:ilvl="0" w:tplc="30B607CC">
      <w:start w:val="1"/>
      <w:numFmt w:val="decimal"/>
      <w:lvlText w:val="%1."/>
      <w:lvlJc w:val="left"/>
      <w:pPr>
        <w:ind w:left="400" w:hanging="260"/>
      </w:pPr>
    </w:lvl>
    <w:lvl w:ilvl="1" w:tplc="6636AC08">
      <w:numFmt w:val="decimal"/>
      <w:lvlText w:val=""/>
      <w:lvlJc w:val="left"/>
    </w:lvl>
    <w:lvl w:ilvl="2" w:tplc="2CC6359A">
      <w:numFmt w:val="decimal"/>
      <w:lvlText w:val=""/>
      <w:lvlJc w:val="left"/>
    </w:lvl>
    <w:lvl w:ilvl="3" w:tplc="E342E34E">
      <w:numFmt w:val="decimal"/>
      <w:lvlText w:val=""/>
      <w:lvlJc w:val="left"/>
    </w:lvl>
    <w:lvl w:ilvl="4" w:tplc="E7844B52">
      <w:numFmt w:val="decimal"/>
      <w:lvlText w:val=""/>
      <w:lvlJc w:val="left"/>
    </w:lvl>
    <w:lvl w:ilvl="5" w:tplc="17FC7E0E">
      <w:numFmt w:val="decimal"/>
      <w:lvlText w:val=""/>
      <w:lvlJc w:val="left"/>
    </w:lvl>
    <w:lvl w:ilvl="6" w:tplc="82F2003E">
      <w:numFmt w:val="decimal"/>
      <w:lvlText w:val=""/>
      <w:lvlJc w:val="left"/>
    </w:lvl>
    <w:lvl w:ilvl="7" w:tplc="8B5A8EA2">
      <w:numFmt w:val="decimal"/>
      <w:lvlText w:val=""/>
      <w:lvlJc w:val="left"/>
    </w:lvl>
    <w:lvl w:ilvl="8" w:tplc="7188D772">
      <w:numFmt w:val="decimal"/>
      <w:lvlText w:val=""/>
      <w:lvlJc w:val="left"/>
    </w:lvl>
  </w:abstractNum>
  <w:abstractNum w:abstractNumId="12" w15:restartNumberingAfterBreak="0">
    <w:nsid w:val="70541B01"/>
    <w:multiLevelType w:val="hybridMultilevel"/>
    <w:tmpl w:val="7A28E236"/>
    <w:lvl w:ilvl="0" w:tplc="B624FAE2">
      <w:start w:val="1"/>
      <w:numFmt w:val="decimal"/>
      <w:lvlText w:val="%1."/>
      <w:lvlJc w:val="left"/>
      <w:pPr>
        <w:ind w:left="400" w:hanging="260"/>
      </w:pPr>
    </w:lvl>
    <w:lvl w:ilvl="1" w:tplc="73ACEE86">
      <w:numFmt w:val="decimal"/>
      <w:lvlText w:val=""/>
      <w:lvlJc w:val="left"/>
    </w:lvl>
    <w:lvl w:ilvl="2" w:tplc="43187B0E">
      <w:numFmt w:val="decimal"/>
      <w:lvlText w:val=""/>
      <w:lvlJc w:val="left"/>
    </w:lvl>
    <w:lvl w:ilvl="3" w:tplc="5BB6D042">
      <w:numFmt w:val="decimal"/>
      <w:lvlText w:val=""/>
      <w:lvlJc w:val="left"/>
    </w:lvl>
    <w:lvl w:ilvl="4" w:tplc="33C44DC6">
      <w:numFmt w:val="decimal"/>
      <w:lvlText w:val=""/>
      <w:lvlJc w:val="left"/>
    </w:lvl>
    <w:lvl w:ilvl="5" w:tplc="22A696B8">
      <w:numFmt w:val="decimal"/>
      <w:lvlText w:val=""/>
      <w:lvlJc w:val="left"/>
    </w:lvl>
    <w:lvl w:ilvl="6" w:tplc="7ADE3934">
      <w:numFmt w:val="decimal"/>
      <w:lvlText w:val=""/>
      <w:lvlJc w:val="left"/>
    </w:lvl>
    <w:lvl w:ilvl="7" w:tplc="0918385E">
      <w:numFmt w:val="decimal"/>
      <w:lvlText w:val=""/>
      <w:lvlJc w:val="left"/>
    </w:lvl>
    <w:lvl w:ilvl="8" w:tplc="F13AE17E">
      <w:numFmt w:val="decimal"/>
      <w:lvlText w:val=""/>
      <w:lvlJc w:val="left"/>
    </w:lvl>
  </w:abstractNum>
  <w:abstractNum w:abstractNumId="13" w15:restartNumberingAfterBreak="0">
    <w:nsid w:val="7AA61719"/>
    <w:multiLevelType w:val="hybridMultilevel"/>
    <w:tmpl w:val="A93607B0"/>
    <w:lvl w:ilvl="0" w:tplc="2942426C">
      <w:start w:val="1"/>
      <w:numFmt w:val="decimal"/>
      <w:lvlText w:val="%1."/>
      <w:lvlJc w:val="left"/>
      <w:pPr>
        <w:ind w:left="400" w:hanging="260"/>
      </w:pPr>
    </w:lvl>
    <w:lvl w:ilvl="1" w:tplc="A09AC556">
      <w:numFmt w:val="decimal"/>
      <w:lvlText w:val=""/>
      <w:lvlJc w:val="left"/>
    </w:lvl>
    <w:lvl w:ilvl="2" w:tplc="EB1C4F7C">
      <w:numFmt w:val="decimal"/>
      <w:lvlText w:val=""/>
      <w:lvlJc w:val="left"/>
    </w:lvl>
    <w:lvl w:ilvl="3" w:tplc="CE80BD34">
      <w:numFmt w:val="decimal"/>
      <w:lvlText w:val=""/>
      <w:lvlJc w:val="left"/>
    </w:lvl>
    <w:lvl w:ilvl="4" w:tplc="0EB82C4A">
      <w:numFmt w:val="decimal"/>
      <w:lvlText w:val=""/>
      <w:lvlJc w:val="left"/>
    </w:lvl>
    <w:lvl w:ilvl="5" w:tplc="8B5EFC68">
      <w:numFmt w:val="decimal"/>
      <w:lvlText w:val=""/>
      <w:lvlJc w:val="left"/>
    </w:lvl>
    <w:lvl w:ilvl="6" w:tplc="DC3203E8">
      <w:numFmt w:val="decimal"/>
      <w:lvlText w:val=""/>
      <w:lvlJc w:val="left"/>
    </w:lvl>
    <w:lvl w:ilvl="7" w:tplc="44664FA2">
      <w:numFmt w:val="decimal"/>
      <w:lvlText w:val=""/>
      <w:lvlJc w:val="left"/>
    </w:lvl>
    <w:lvl w:ilvl="8" w:tplc="7A940DC8">
      <w:numFmt w:val="decimal"/>
      <w:lvlText w:val=""/>
      <w:lvlJc w:val="left"/>
    </w:lvl>
  </w:abstractNum>
  <w:abstractNum w:abstractNumId="14" w15:restartNumberingAfterBreak="0">
    <w:nsid w:val="7DED41CE"/>
    <w:multiLevelType w:val="hybridMultilevel"/>
    <w:tmpl w:val="5600AEF6"/>
    <w:lvl w:ilvl="0" w:tplc="B402557C">
      <w:start w:val="1"/>
      <w:numFmt w:val="decimal"/>
      <w:lvlText w:val="%1."/>
      <w:lvlJc w:val="left"/>
      <w:pPr>
        <w:ind w:left="400" w:hanging="260"/>
      </w:pPr>
    </w:lvl>
    <w:lvl w:ilvl="1" w:tplc="E3CC8B06">
      <w:numFmt w:val="decimal"/>
      <w:lvlText w:val=""/>
      <w:lvlJc w:val="left"/>
    </w:lvl>
    <w:lvl w:ilvl="2" w:tplc="06205810">
      <w:numFmt w:val="decimal"/>
      <w:lvlText w:val=""/>
      <w:lvlJc w:val="left"/>
    </w:lvl>
    <w:lvl w:ilvl="3" w:tplc="B9C442F0">
      <w:numFmt w:val="decimal"/>
      <w:lvlText w:val=""/>
      <w:lvlJc w:val="left"/>
    </w:lvl>
    <w:lvl w:ilvl="4" w:tplc="6406A25E">
      <w:numFmt w:val="decimal"/>
      <w:lvlText w:val=""/>
      <w:lvlJc w:val="left"/>
    </w:lvl>
    <w:lvl w:ilvl="5" w:tplc="5DC02562">
      <w:numFmt w:val="decimal"/>
      <w:lvlText w:val=""/>
      <w:lvlJc w:val="left"/>
    </w:lvl>
    <w:lvl w:ilvl="6" w:tplc="97922C18">
      <w:numFmt w:val="decimal"/>
      <w:lvlText w:val=""/>
      <w:lvlJc w:val="left"/>
    </w:lvl>
    <w:lvl w:ilvl="7" w:tplc="17289FEC">
      <w:numFmt w:val="decimal"/>
      <w:lvlText w:val=""/>
      <w:lvlJc w:val="left"/>
    </w:lvl>
    <w:lvl w:ilvl="8" w:tplc="9D80ACBC">
      <w:numFmt w:val="decimal"/>
      <w:lvlText w:val=""/>
      <w:lvlJc w:val="left"/>
    </w:lvl>
  </w:abstractNum>
  <w:abstractNum w:abstractNumId="15" w15:restartNumberingAfterBreak="0">
    <w:nsid w:val="7FE3767F"/>
    <w:multiLevelType w:val="hybridMultilevel"/>
    <w:tmpl w:val="6D48E706"/>
    <w:lvl w:ilvl="0" w:tplc="94BA1CB0">
      <w:start w:val="1"/>
      <w:numFmt w:val="bullet"/>
      <w:lvlText w:val="●"/>
      <w:lvlJc w:val="left"/>
      <w:pPr>
        <w:ind w:left="720" w:hanging="360"/>
      </w:pPr>
    </w:lvl>
    <w:lvl w:ilvl="1" w:tplc="EEF6FDA4">
      <w:start w:val="1"/>
      <w:numFmt w:val="bullet"/>
      <w:lvlText w:val="○"/>
      <w:lvlJc w:val="left"/>
      <w:pPr>
        <w:ind w:left="1440" w:hanging="360"/>
      </w:pPr>
    </w:lvl>
    <w:lvl w:ilvl="2" w:tplc="315E3CC2">
      <w:start w:val="1"/>
      <w:numFmt w:val="bullet"/>
      <w:lvlText w:val="■"/>
      <w:lvlJc w:val="left"/>
      <w:pPr>
        <w:ind w:left="2160" w:hanging="360"/>
      </w:pPr>
    </w:lvl>
    <w:lvl w:ilvl="3" w:tplc="53D0C564">
      <w:start w:val="1"/>
      <w:numFmt w:val="bullet"/>
      <w:lvlText w:val="●"/>
      <w:lvlJc w:val="left"/>
      <w:pPr>
        <w:ind w:left="2880" w:hanging="360"/>
      </w:pPr>
    </w:lvl>
    <w:lvl w:ilvl="4" w:tplc="09AC8468">
      <w:start w:val="1"/>
      <w:numFmt w:val="bullet"/>
      <w:lvlText w:val="○"/>
      <w:lvlJc w:val="left"/>
      <w:pPr>
        <w:ind w:left="3600" w:hanging="360"/>
      </w:pPr>
    </w:lvl>
    <w:lvl w:ilvl="5" w:tplc="247045A4">
      <w:start w:val="1"/>
      <w:numFmt w:val="bullet"/>
      <w:lvlText w:val="■"/>
      <w:lvlJc w:val="left"/>
      <w:pPr>
        <w:ind w:left="4320" w:hanging="360"/>
      </w:pPr>
    </w:lvl>
    <w:lvl w:ilvl="6" w:tplc="0580672A">
      <w:start w:val="1"/>
      <w:numFmt w:val="bullet"/>
      <w:lvlText w:val="●"/>
      <w:lvlJc w:val="left"/>
      <w:pPr>
        <w:ind w:left="5040" w:hanging="360"/>
      </w:pPr>
    </w:lvl>
    <w:lvl w:ilvl="7" w:tplc="0E5066AE">
      <w:start w:val="1"/>
      <w:numFmt w:val="bullet"/>
      <w:lvlText w:val="●"/>
      <w:lvlJc w:val="left"/>
      <w:pPr>
        <w:ind w:left="5760" w:hanging="360"/>
      </w:pPr>
    </w:lvl>
    <w:lvl w:ilvl="8" w:tplc="8FEE2C14">
      <w:start w:val="1"/>
      <w:numFmt w:val="bullet"/>
      <w:lvlText w:val="●"/>
      <w:lvlJc w:val="left"/>
      <w:pPr>
        <w:ind w:left="6480" w:hanging="360"/>
      </w:pPr>
    </w:lvl>
  </w:abstractNum>
  <w:num w:numId="1" w16cid:durableId="1766608133">
    <w:abstractNumId w:val="15"/>
    <w:lvlOverride w:ilvl="0">
      <w:startOverride w:val="1"/>
    </w:lvlOverride>
  </w:num>
  <w:num w:numId="2" w16cid:durableId="757824225">
    <w:abstractNumId w:val="1"/>
    <w:lvlOverride w:ilvl="0">
      <w:startOverride w:val="1"/>
    </w:lvlOverride>
  </w:num>
  <w:num w:numId="3" w16cid:durableId="1065447538">
    <w:abstractNumId w:val="11"/>
    <w:lvlOverride w:ilvl="0">
      <w:startOverride w:val="1"/>
    </w:lvlOverride>
  </w:num>
  <w:num w:numId="4" w16cid:durableId="1327052932">
    <w:abstractNumId w:val="12"/>
    <w:lvlOverride w:ilvl="0">
      <w:startOverride w:val="1"/>
    </w:lvlOverride>
  </w:num>
  <w:num w:numId="5" w16cid:durableId="235096506">
    <w:abstractNumId w:val="13"/>
    <w:lvlOverride w:ilvl="0">
      <w:startOverride w:val="1"/>
    </w:lvlOverride>
  </w:num>
  <w:num w:numId="6" w16cid:durableId="866257640">
    <w:abstractNumId w:val="2"/>
    <w:lvlOverride w:ilvl="0">
      <w:startOverride w:val="1"/>
    </w:lvlOverride>
  </w:num>
  <w:num w:numId="7" w16cid:durableId="1091123004">
    <w:abstractNumId w:val="8"/>
    <w:lvlOverride w:ilvl="0">
      <w:startOverride w:val="1"/>
    </w:lvlOverride>
  </w:num>
  <w:num w:numId="8" w16cid:durableId="2034334017">
    <w:abstractNumId w:val="14"/>
    <w:lvlOverride w:ilvl="0">
      <w:startOverride w:val="1"/>
    </w:lvlOverride>
  </w:num>
  <w:num w:numId="9" w16cid:durableId="1739665522">
    <w:abstractNumId w:val="9"/>
    <w:lvlOverride w:ilvl="0">
      <w:startOverride w:val="1"/>
    </w:lvlOverride>
  </w:num>
  <w:num w:numId="10" w16cid:durableId="1463883110">
    <w:abstractNumId w:val="4"/>
    <w:lvlOverride w:ilvl="0">
      <w:startOverride w:val="1"/>
    </w:lvlOverride>
  </w:num>
  <w:num w:numId="11" w16cid:durableId="1572036687">
    <w:abstractNumId w:val="7"/>
    <w:lvlOverride w:ilvl="0">
      <w:startOverride w:val="1"/>
    </w:lvlOverride>
  </w:num>
  <w:num w:numId="12" w16cid:durableId="811142059">
    <w:abstractNumId w:val="10"/>
    <w:lvlOverride w:ilvl="0">
      <w:startOverride w:val="1"/>
    </w:lvlOverride>
  </w:num>
  <w:num w:numId="13" w16cid:durableId="1343624085">
    <w:abstractNumId w:val="0"/>
    <w:lvlOverride w:ilvl="0">
      <w:startOverride w:val="1"/>
    </w:lvlOverride>
  </w:num>
  <w:num w:numId="14" w16cid:durableId="993340973">
    <w:abstractNumId w:val="5"/>
    <w:lvlOverride w:ilvl="0">
      <w:startOverride w:val="1"/>
    </w:lvlOverride>
  </w:num>
  <w:num w:numId="15" w16cid:durableId="1754548580">
    <w:abstractNumId w:val="6"/>
    <w:lvlOverride w:ilvl="0">
      <w:startOverride w:val="1"/>
    </w:lvlOverride>
  </w:num>
  <w:num w:numId="16" w16cid:durableId="2058318085">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4A1"/>
    <w:rsid w:val="00007EA9"/>
    <w:rsid w:val="003D2C0A"/>
    <w:rsid w:val="006F5695"/>
    <w:rsid w:val="00F85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43B8E"/>
  <w15:docId w15:val="{DEFAC5CB-9693-4EB7-B36D-686259477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07EA9"/>
    <w:pPr>
      <w:tabs>
        <w:tab w:val="center" w:pos="4680"/>
        <w:tab w:val="right" w:pos="9360"/>
      </w:tabs>
    </w:pPr>
  </w:style>
  <w:style w:type="character" w:customStyle="1" w:styleId="HeaderChar">
    <w:name w:val="Header Char"/>
    <w:basedOn w:val="DefaultParagraphFont"/>
    <w:link w:val="Header"/>
    <w:uiPriority w:val="99"/>
    <w:rsid w:val="00007EA9"/>
  </w:style>
  <w:style w:type="paragraph" w:styleId="Footer">
    <w:name w:val="footer"/>
    <w:basedOn w:val="Normal"/>
    <w:link w:val="FooterChar"/>
    <w:uiPriority w:val="99"/>
    <w:unhideWhenUsed/>
    <w:rsid w:val="00007EA9"/>
    <w:pPr>
      <w:tabs>
        <w:tab w:val="center" w:pos="4680"/>
        <w:tab w:val="right" w:pos="9360"/>
      </w:tabs>
    </w:pPr>
  </w:style>
  <w:style w:type="character" w:customStyle="1" w:styleId="FooterChar">
    <w:name w:val="Footer Char"/>
    <w:basedOn w:val="DefaultParagraphFont"/>
    <w:link w:val="Footer"/>
    <w:uiPriority w:val="99"/>
    <w:rsid w:val="00007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3078</Words>
  <Characters>17545</Characters>
  <Application>Microsoft Office Word</Application>
  <DocSecurity>0</DocSecurity>
  <Lines>146</Lines>
  <Paragraphs>41</Paragraphs>
  <ScaleCrop>false</ScaleCrop>
  <Company/>
  <LinksUpToDate>false</LinksUpToDate>
  <CharactersWithSpaces>20582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Entra ID SSO and SCIM Provisioning — Production Fusion Identity Domain</dc:title>
  <dc:creator>Cianbro — Oracle Cloud Program</dc:creator>
  <cp:lastModifiedBy>Gopinath Soundarrajan</cp:lastModifiedBy>
  <cp:revision>2</cp:revision>
  <dcterms:created xsi:type="dcterms:W3CDTF">2026-10-01T03:57:00Z</dcterms:created>
  <dcterms:modified xsi:type="dcterms:W3CDTF">2026-10-01T03:57:00Z</dcterms:modified>
</cp:coreProperties>
</file>